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rFonts w:ascii="Times New Roman" w:hAnsi="Times New Roman"/>
        </w:rPr>
      </w:pPr>
      <w:bookmarkStart w:id="0" w:name="OLE_LINK24"/>
      <w:bookmarkStart w:id="1" w:name="OLE_LINK34"/>
      <w:bookmarkStart w:id="2" w:name="OLE_LINK13"/>
      <w:bookmarkStart w:id="3" w:name="OLE_LINK12"/>
      <w:bookmarkStart w:id="4" w:name="OLE_LINK33"/>
      <w:r>
        <w:rPr>
          <w:rFonts w:ascii="Times New Roman" w:hAnsi="Times New Roman"/>
          <w:b/>
        </w:rPr>
        <w:t>3GPP TSG RAN WG1 Meeting #10</w:t>
      </w:r>
      <w:r>
        <w:rPr>
          <w:rFonts w:hint="eastAsia" w:ascii="Times New Roman" w:hAnsi="Times New Roman"/>
          <w:b/>
        </w:rPr>
        <w:t>3</w:t>
      </w:r>
      <w:r>
        <w:rPr>
          <w:rFonts w:ascii="Times New Roman" w:hAnsi="Times New Roman"/>
          <w:b/>
        </w:rPr>
        <w:t xml:space="preserve">-e                                       </w:t>
      </w:r>
      <w:r>
        <w:rPr>
          <w:rFonts w:hint="eastAsia" w:ascii="Times New Roman" w:hAnsi="Times New Roman"/>
          <w:b/>
        </w:rPr>
        <w:t>R1-2007753</w:t>
      </w:r>
    </w:p>
    <w:p>
      <w:pPr>
        <w:tabs>
          <w:tab w:val="center" w:pos="4536"/>
          <w:tab w:val="right" w:pos="8280"/>
          <w:tab w:val="right" w:pos="9639"/>
        </w:tabs>
        <w:snapToGrid w:val="0"/>
        <w:spacing w:after="0" w:line="240" w:lineRule="auto"/>
        <w:ind w:left="442" w:right="2" w:hanging="442" w:hangingChars="200"/>
        <w:rPr>
          <w:rFonts w:ascii="Times New Roman" w:hAnsi="Times New Roman"/>
          <w:b/>
        </w:rPr>
      </w:pPr>
      <w:r>
        <w:rPr>
          <w:rFonts w:ascii="Times New Roman" w:hAnsi="Times New Roman"/>
          <w:b/>
        </w:rPr>
        <w:t>e-Meeting, October 26th – November 13th, 2020</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Remaining issues on e</w:t>
      </w:r>
      <w:r>
        <w:rPr>
          <w:rFonts w:ascii="Times New Roman" w:hAnsi="Times New Roman" w:eastAsia="宋体"/>
          <w:b/>
        </w:rPr>
        <w:t xml:space="preserve">valuation assumptions </w:t>
      </w:r>
      <w:bookmarkEnd w:id="0"/>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1</w:t>
      </w:r>
    </w:p>
    <w:bookmarkEnd w:id="1"/>
    <w:bookmarkEnd w:id="2"/>
    <w:bookmarkEnd w:id="3"/>
    <w:bookmarkEnd w:id="4"/>
    <w:p>
      <w:pPr>
        <w:pBdr>
          <w:bottom w:val="single" w:color="auto" w:sz="6" w:space="1"/>
        </w:pBdr>
        <w:snapToGrid w:val="0"/>
        <w:spacing w:after="0" w:line="240" w:lineRule="auto"/>
        <w:ind w:left="1797" w:hanging="1797"/>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RAN1#101-e and 102-e meetings, most evaluation assumptions have been discussed for NR positioning enhancements including scenarios, requirements and parameter settings. However, there are still some remaining issues to be further discussed for exact accuracy and latency requirements. In this contribution, we provide our views on these remaining issues.</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Remaining issues on evaluation assumptions</w:t>
      </w:r>
    </w:p>
    <w:p>
      <w:pPr>
        <w:pStyle w:val="3"/>
        <w:numPr>
          <w:ilvl w:val="1"/>
          <w:numId w:val="0"/>
        </w:numPr>
        <w:snapToGrid w:val="0"/>
        <w:spacing w:line="240" w:lineRule="auto"/>
        <w:rPr>
          <w:rFonts w:ascii="Times New Roman" w:hAnsi="Times New Roman"/>
          <w:sz w:val="21"/>
          <w:szCs w:val="21"/>
          <w:u w:val="single"/>
          <w:lang w:val="en-US"/>
        </w:rPr>
      </w:pPr>
      <w:r>
        <w:rPr>
          <w:rFonts w:ascii="Times New Roman" w:hAnsi="Times New Roman"/>
          <w:sz w:val="21"/>
          <w:szCs w:val="21"/>
          <w:u w:val="single"/>
          <w:lang w:val="en-US"/>
        </w:rPr>
        <w:t xml:space="preserve">Issue#1: </w:t>
      </w:r>
      <w:r>
        <w:rPr>
          <w:rFonts w:hint="eastAsia" w:ascii="Times New Roman" w:hAnsi="Times New Roman"/>
          <w:sz w:val="21"/>
          <w:szCs w:val="21"/>
          <w:u w:val="single"/>
          <w:lang w:val="en-US"/>
        </w:rPr>
        <w:t xml:space="preserve">positioning </w:t>
      </w:r>
      <w:r>
        <w:rPr>
          <w:rFonts w:ascii="Times New Roman" w:hAnsi="Times New Roman"/>
          <w:sz w:val="21"/>
          <w:szCs w:val="21"/>
          <w:u w:val="single"/>
          <w:lang w:val="en-US"/>
        </w:rPr>
        <w:t>accuracy requirements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Although the SID [1] has </w:t>
      </w:r>
      <w:r>
        <w:rPr>
          <w:rFonts w:ascii="Times New Roman" w:hAnsi="Times New Roman"/>
          <w:sz w:val="20"/>
          <w:szCs w:val="20"/>
        </w:rPr>
        <w:t>provide</w:t>
      </w:r>
      <w:r>
        <w:rPr>
          <w:rFonts w:hint="eastAsia" w:ascii="Times New Roman" w:hAnsi="Times New Roman"/>
          <w:sz w:val="20"/>
          <w:szCs w:val="20"/>
        </w:rPr>
        <w:t>d</w:t>
      </w:r>
      <w:r>
        <w:rPr>
          <w:rFonts w:ascii="Times New Roman" w:hAnsi="Times New Roman"/>
          <w:sz w:val="20"/>
          <w:szCs w:val="20"/>
        </w:rPr>
        <w:t xml:space="preserve"> the exemplary performance targets in the justification</w:t>
      </w:r>
      <w:r>
        <w:rPr>
          <w:rFonts w:hint="eastAsia" w:ascii="Times New Roman" w:hAnsi="Times New Roman"/>
          <w:sz w:val="20"/>
          <w:szCs w:val="20"/>
        </w:rPr>
        <w:t>, it doesn</w:t>
      </w:r>
      <w:r>
        <w:rPr>
          <w:rFonts w:ascii="Times New Roman" w:hAnsi="Times New Roman"/>
          <w:sz w:val="20"/>
          <w:szCs w:val="20"/>
        </w:rPr>
        <w:t>’</w:t>
      </w:r>
      <w:r>
        <w:rPr>
          <w:rFonts w:hint="eastAsia" w:ascii="Times New Roman" w:hAnsi="Times New Roman"/>
          <w:sz w:val="20"/>
          <w:szCs w:val="20"/>
        </w:rPr>
        <w:t>t comprise the exact requirements on horizontal position accuracy, vertical position accuracy, end-to-end latency and physical layer latency. In order to find the performance gap based on Rel-16 positioning techniques and set up the performance targets for Rel-17 positioning enhancements, the above requirements should be defined clearly in SI phase.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following agreement has been approved in </w:t>
      </w:r>
      <w:r>
        <w:rPr>
          <w:rFonts w:hint="eastAsia" w:ascii="Times New Roman" w:hAnsi="Times New Roman"/>
          <w:sz w:val="20"/>
          <w:szCs w:val="20"/>
        </w:rPr>
        <w:t xml:space="preserve">RAN1#101-e </w:t>
      </w:r>
      <w:r>
        <w:rPr>
          <w:rFonts w:ascii="Times New Roman" w:hAnsi="Times New Roman"/>
          <w:sz w:val="20"/>
          <w:szCs w:val="20"/>
        </w:rPr>
        <w:t xml:space="preserve">meeting </w:t>
      </w:r>
      <w:r>
        <w:rPr>
          <w:rFonts w:hint="eastAsia" w:ascii="Times New Roman" w:hAnsi="Times New Roman"/>
          <w:sz w:val="20"/>
          <w:szCs w:val="20"/>
        </w:rPr>
        <w:t>[2]. The values in the brackets were discussed in RAN1#102-e meeting. Unfortunately, there was no consensus yet.</w:t>
      </w:r>
    </w:p>
    <w:p>
      <w:pPr>
        <w:snapToGrid w:val="0"/>
        <w:spacing w:after="0" w:line="240" w:lineRule="auto"/>
        <w:jc w:val="both"/>
        <w:rPr>
          <w:rFonts w:ascii="Times New Roman" w:hAnsi="Times New Roman"/>
          <w:i/>
          <w:iCs/>
          <w:sz w:val="20"/>
          <w:szCs w:val="20"/>
          <w:u w:val="single"/>
        </w:rPr>
      </w:pPr>
      <w:r>
        <w:rPr>
          <w:rFonts w:hint="eastAsia" w:ascii="Times New Roman" w:hAnsi="Times New Roman"/>
          <w:i/>
          <w:iCs/>
          <w:sz w:val="20"/>
          <w:szCs w:val="20"/>
          <w:u w:val="single"/>
        </w:rPr>
        <w:t>Agreement:</w:t>
      </w:r>
    </w:p>
    <w:p>
      <w:pPr>
        <w:numPr>
          <w:ilvl w:val="0"/>
          <w:numId w:val="3"/>
        </w:numPr>
        <w:snapToGrid w:val="0"/>
        <w:spacing w:after="0" w:line="240" w:lineRule="auto"/>
        <w:ind w:left="360"/>
        <w:rPr>
          <w:rFonts w:ascii="Times New Roman" w:hAnsi="Times New Roman" w:eastAsia="宋体"/>
          <w:i/>
          <w:iCs/>
          <w:sz w:val="20"/>
          <w:szCs w:val="20"/>
        </w:rPr>
      </w:pPr>
      <w:r>
        <w:rPr>
          <w:rFonts w:ascii="Times New Roman" w:hAnsi="Times New Roman" w:eastAsia="宋体"/>
          <w:i/>
          <w:iCs/>
          <w:sz w:val="20"/>
          <w:szCs w:val="20"/>
        </w:rPr>
        <w:t xml:space="preserve">In Rel-17 target positioning requirements for </w:t>
      </w:r>
      <w:r>
        <w:rPr>
          <w:rFonts w:ascii="Times New Roman" w:hAnsi="Times New Roman" w:eastAsia="宋体"/>
          <w:b/>
          <w:i/>
          <w:iCs/>
          <w:sz w:val="20"/>
          <w:szCs w:val="20"/>
        </w:rPr>
        <w:t>commercial use cases</w:t>
      </w:r>
      <w:r>
        <w:rPr>
          <w:rFonts w:ascii="Times New Roman" w:hAnsi="Times New Roman" w:eastAsia="宋体"/>
          <w:i/>
          <w:iCs/>
          <w:sz w:val="20"/>
          <w:szCs w:val="20"/>
        </w:rPr>
        <w:t xml:space="preserve"> are defined as follows:</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Horizontal position accuracy (&lt; 1 m) for [90%] of UEs</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Vertical position accuracy (&lt; [2 or 3] m) for [90%] of UEs</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End-to-end latency for position estimation of UE (&lt; [100 ms])</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FFS: Physical layer latency for position estimation of UE (&lt; [10 ms])</w:t>
      </w:r>
    </w:p>
    <w:p>
      <w:pPr>
        <w:numPr>
          <w:ilvl w:val="0"/>
          <w:numId w:val="3"/>
        </w:numPr>
        <w:snapToGrid w:val="0"/>
        <w:spacing w:after="0" w:line="240" w:lineRule="auto"/>
        <w:ind w:left="360"/>
        <w:rPr>
          <w:rFonts w:ascii="Times New Roman" w:hAnsi="Times New Roman" w:eastAsia="宋体"/>
          <w:i/>
          <w:iCs/>
          <w:sz w:val="20"/>
          <w:szCs w:val="20"/>
        </w:rPr>
      </w:pPr>
      <w:r>
        <w:rPr>
          <w:rFonts w:ascii="Times New Roman" w:hAnsi="Times New Roman" w:eastAsia="宋体"/>
          <w:i/>
          <w:iCs/>
          <w:sz w:val="20"/>
          <w:szCs w:val="20"/>
        </w:rPr>
        <w:t xml:space="preserve">In Rel-17 target positioning requirements for </w:t>
      </w:r>
      <w:r>
        <w:rPr>
          <w:rFonts w:ascii="Times New Roman" w:hAnsi="Times New Roman" w:eastAsia="宋体"/>
          <w:b/>
          <w:bCs/>
          <w:i/>
          <w:iCs/>
          <w:sz w:val="20"/>
          <w:szCs w:val="20"/>
        </w:rPr>
        <w:t>IIoT use cases</w:t>
      </w:r>
      <w:r>
        <w:rPr>
          <w:rFonts w:ascii="Times New Roman" w:hAnsi="Times New Roman" w:eastAsia="宋体"/>
          <w:i/>
          <w:iCs/>
          <w:sz w:val="20"/>
          <w:szCs w:val="20"/>
        </w:rPr>
        <w:t xml:space="preserve"> are defined as follows:</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Horizontal position accuracy (&lt; X m) for [90%] of UEs</w:t>
      </w:r>
    </w:p>
    <w:p>
      <w:pPr>
        <w:numPr>
          <w:ilvl w:val="2"/>
          <w:numId w:val="4"/>
        </w:numPr>
        <w:tabs>
          <w:tab w:val="left" w:pos="1004"/>
        </w:tabs>
        <w:snapToGrid w:val="0"/>
        <w:spacing w:after="0" w:line="240" w:lineRule="auto"/>
        <w:contextualSpacing/>
        <w:rPr>
          <w:rFonts w:ascii="Times New Roman" w:hAnsi="Times New Roman" w:eastAsia="宋体"/>
          <w:i/>
          <w:iCs/>
          <w:sz w:val="20"/>
          <w:szCs w:val="20"/>
        </w:rPr>
      </w:pPr>
      <w:r>
        <w:rPr>
          <w:rFonts w:ascii="Times New Roman" w:hAnsi="Times New Roman" w:eastAsia="宋体"/>
          <w:i/>
          <w:iCs/>
          <w:sz w:val="20"/>
          <w:szCs w:val="20"/>
        </w:rPr>
        <w:t>X = [0.2 or 0.5] m</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Vertical position accuracy (&lt; Y m) for [90%] of UEs</w:t>
      </w:r>
    </w:p>
    <w:p>
      <w:pPr>
        <w:numPr>
          <w:ilvl w:val="2"/>
          <w:numId w:val="4"/>
        </w:numPr>
        <w:tabs>
          <w:tab w:val="left" w:pos="1004"/>
        </w:tabs>
        <w:snapToGrid w:val="0"/>
        <w:spacing w:after="0" w:line="240" w:lineRule="auto"/>
        <w:contextualSpacing/>
        <w:rPr>
          <w:rFonts w:ascii="Times New Roman" w:hAnsi="Times New Roman" w:eastAsia="宋体"/>
          <w:i/>
          <w:iCs/>
          <w:sz w:val="20"/>
          <w:szCs w:val="20"/>
        </w:rPr>
      </w:pPr>
      <w:r>
        <w:rPr>
          <w:rFonts w:ascii="Times New Roman" w:hAnsi="Times New Roman" w:eastAsia="宋体"/>
          <w:i/>
          <w:iCs/>
          <w:sz w:val="20"/>
          <w:szCs w:val="20"/>
        </w:rPr>
        <w:t>Y = [0.2 or 1] m</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End-to-end latency for position estimation of UE (&lt; [10ms, 20ms, or 100ms])</w:t>
      </w:r>
    </w:p>
    <w:p>
      <w:pPr>
        <w:numPr>
          <w:ilvl w:val="1"/>
          <w:numId w:val="4"/>
        </w:numPr>
        <w:tabs>
          <w:tab w:val="left" w:pos="1004"/>
        </w:tabs>
        <w:snapToGrid w:val="0"/>
        <w:spacing w:after="0" w:line="240" w:lineRule="auto"/>
        <w:ind w:left="1080"/>
        <w:contextualSpacing/>
        <w:rPr>
          <w:rFonts w:ascii="Times New Roman" w:hAnsi="Times New Roman" w:eastAsia="宋体"/>
          <w:i/>
          <w:iCs/>
          <w:sz w:val="20"/>
          <w:szCs w:val="20"/>
        </w:rPr>
      </w:pPr>
      <w:r>
        <w:rPr>
          <w:rFonts w:ascii="Times New Roman" w:hAnsi="Times New Roman" w:eastAsia="宋体"/>
          <w:i/>
          <w:iCs/>
          <w:sz w:val="20"/>
          <w:szCs w:val="20"/>
        </w:rPr>
        <w:t>FFS: Physical layer latency for position estimation of UE (&lt; [10ms])</w:t>
      </w:r>
    </w:p>
    <w:p>
      <w:pPr>
        <w:numPr>
          <w:ilvl w:val="0"/>
          <w:numId w:val="3"/>
        </w:numPr>
        <w:snapToGrid w:val="0"/>
        <w:spacing w:after="0" w:line="240" w:lineRule="auto"/>
        <w:ind w:left="360"/>
        <w:rPr>
          <w:rFonts w:ascii="Times New Roman" w:hAnsi="Times New Roman" w:eastAsia="宋体"/>
          <w:sz w:val="20"/>
          <w:szCs w:val="20"/>
        </w:rPr>
      </w:pPr>
      <w:r>
        <w:rPr>
          <w:rFonts w:ascii="Times New Roman" w:hAnsi="Times New Roman" w:eastAsia="宋体"/>
          <w:i/>
          <w:iCs/>
          <w:sz w:val="20"/>
          <w:szCs w:val="20"/>
        </w:rPr>
        <w:t>Note: Target positioning requirements may not necessarily be reached for all scenar</w:t>
      </w:r>
      <w:r>
        <w:rPr>
          <w:rFonts w:ascii="Times New Roman" w:hAnsi="Times New Roman" w:eastAsia="宋体"/>
          <w:sz w:val="20"/>
          <w:szCs w:val="20"/>
        </w:rPr>
        <w:t>ios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regard to the target percentile of UEs to meet the position accuracy requirement, it is better to be larger than the value (80%) defined in Rel-16 since higher accuracy requirement is needed in Rel-17, 90% is a reasonable value.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Regarding the commercial use cases, 1m for horizontal accuracy is enough as most companies suggested. For vertical position accuracy, the floor height 3m is enough for most of scenarios.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Regarding the IIOT use cases, it</w:t>
      </w:r>
      <w:r>
        <w:rPr>
          <w:rFonts w:ascii="Times New Roman" w:hAnsi="Times New Roman"/>
          <w:sz w:val="20"/>
          <w:szCs w:val="20"/>
        </w:rPr>
        <w:t>’</w:t>
      </w:r>
      <w:r>
        <w:rPr>
          <w:rFonts w:hint="eastAsia" w:ascii="Times New Roman" w:hAnsi="Times New Roman"/>
          <w:sz w:val="20"/>
          <w:szCs w:val="20"/>
        </w:rPr>
        <w:t xml:space="preserve">s better that different IIOT channels have different position accuracy requirements, since the LOS probability is different. For example, the targets for InF-SH channel can be </w:t>
      </w:r>
      <w:bookmarkStart w:id="5" w:name="OLE_LINK1"/>
      <w:r>
        <w:rPr>
          <w:rFonts w:hint="eastAsia" w:ascii="Times New Roman" w:hAnsi="Times New Roman"/>
          <w:sz w:val="20"/>
          <w:szCs w:val="20"/>
        </w:rPr>
        <w:t>X=0.2 and Y=0.2</w:t>
      </w:r>
      <w:bookmarkEnd w:id="5"/>
      <w:r>
        <w:rPr>
          <w:rFonts w:hint="eastAsia" w:ascii="Times New Roman" w:hAnsi="Times New Roman"/>
          <w:sz w:val="20"/>
          <w:szCs w:val="20"/>
        </w:rPr>
        <w:t xml:space="preserve">. However, for InF-DH channel, because of higher NLOS probability, it is hard to </w:t>
      </w:r>
      <w:r>
        <w:rPr>
          <w:rFonts w:ascii="Times New Roman" w:hAnsi="Times New Roman"/>
          <w:sz w:val="20"/>
          <w:szCs w:val="20"/>
        </w:rPr>
        <w:t>meet</w:t>
      </w:r>
      <w:r>
        <w:rPr>
          <w:rFonts w:hint="eastAsia" w:ascii="Times New Roman" w:hAnsi="Times New Roman"/>
          <w:sz w:val="20"/>
          <w:szCs w:val="20"/>
        </w:rPr>
        <w:t xml:space="preserve"> the requirement with X=0.2 and Y=0.2. So more relaxed targets can be X=0.5 and Y=1. Therefore, we suggest to adopt multiple values for both horizontal and vertical position accuracy targets. </w:t>
      </w:r>
      <w:bookmarkStart w:id="9" w:name="_GoBack"/>
      <w:bookmarkEnd w:id="9"/>
    </w:p>
    <w:p>
      <w:pPr>
        <w:snapToGrid w:val="0"/>
        <w:spacing w:after="0" w:line="240" w:lineRule="auto"/>
        <w:jc w:val="both"/>
        <w:rPr>
          <w:rFonts w:ascii="Times New Roman" w:hAnsi="Times New Roman"/>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Adopt following target accuracy requirements for Rel-17</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commercial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Horizontal position accuracy (&lt; </w:t>
      </w:r>
      <w:r>
        <w:rPr>
          <w:rFonts w:ascii="Times New Roman" w:hAnsi="Times New Roman" w:eastAsia="宋体"/>
          <w:i/>
          <w:iCs/>
          <w:color w:val="C00000"/>
          <w:sz w:val="20"/>
          <w:szCs w:val="20"/>
        </w:rPr>
        <w:t xml:space="preserve">1 </w:t>
      </w:r>
      <w:r>
        <w:rPr>
          <w:rFonts w:ascii="Times New Roman" w:hAnsi="Times New Roman" w:eastAsia="宋体"/>
          <w:i/>
          <w:iCs/>
          <w:sz w:val="20"/>
          <w:szCs w:val="20"/>
        </w:rPr>
        <w:t xml:space="preserve">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Vertical position accuracy (&lt; </w:t>
      </w:r>
      <w:r>
        <w:rPr>
          <w:rFonts w:ascii="Times New Roman" w:hAnsi="Times New Roman" w:eastAsia="宋体"/>
          <w:i/>
          <w:iCs/>
          <w:color w:val="C00000"/>
          <w:sz w:val="20"/>
          <w:szCs w:val="20"/>
        </w:rPr>
        <w:t xml:space="preserve">3 </w:t>
      </w:r>
      <w:r>
        <w:rPr>
          <w:rFonts w:ascii="Times New Roman" w:hAnsi="Times New Roman" w:eastAsia="宋体"/>
          <w:i/>
          <w:iCs/>
          <w:sz w:val="20"/>
          <w:szCs w:val="20"/>
        </w:rPr>
        <w:t xml:space="preserve">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IIoT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Horizontal position accuracy (&lt; X 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2"/>
          <w:numId w:val="4"/>
        </w:numPr>
        <w:tabs>
          <w:tab w:val="left" w:pos="1004"/>
        </w:tabs>
        <w:snapToGrid w:val="0"/>
        <w:spacing w:after="0" w:line="240" w:lineRule="auto"/>
        <w:ind w:left="258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X = </w:t>
      </w:r>
      <w:r>
        <w:rPr>
          <w:rFonts w:ascii="Times New Roman" w:hAnsi="Times New Roman" w:eastAsia="宋体"/>
          <w:i/>
          <w:iCs/>
          <w:color w:val="C00000"/>
          <w:sz w:val="20"/>
          <w:szCs w:val="20"/>
        </w:rPr>
        <w:t>0.2</w:t>
      </w:r>
      <w:r>
        <w:rPr>
          <w:rFonts w:ascii="Times New Roman" w:hAnsi="Times New Roman" w:eastAsia="宋体"/>
          <w:i/>
          <w:iCs/>
          <w:sz w:val="20"/>
          <w:szCs w:val="20"/>
        </w:rPr>
        <w:t xml:space="preserve"> or </w:t>
      </w:r>
      <w:r>
        <w:rPr>
          <w:rFonts w:ascii="Times New Roman" w:hAnsi="Times New Roman" w:eastAsia="宋体"/>
          <w:i/>
          <w:iCs/>
          <w:color w:val="C00000"/>
          <w:sz w:val="20"/>
          <w:szCs w:val="20"/>
        </w:rPr>
        <w:t>0.5</w:t>
      </w:r>
      <w:r>
        <w:rPr>
          <w:rFonts w:ascii="Times New Roman" w:hAnsi="Times New Roman" w:eastAsia="宋体"/>
          <w:i/>
          <w:iCs/>
          <w:sz w:val="20"/>
          <w:szCs w:val="20"/>
        </w:rPr>
        <w:t xml:space="preserve"> m</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Vertical position accuracy (&lt; Y 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2"/>
          <w:numId w:val="4"/>
        </w:numPr>
        <w:tabs>
          <w:tab w:val="left" w:pos="1004"/>
        </w:tabs>
        <w:snapToGrid w:val="0"/>
        <w:spacing w:after="0" w:line="240" w:lineRule="auto"/>
        <w:ind w:left="2580" w:hanging="363"/>
        <w:contextualSpacing/>
        <w:rPr>
          <w:rFonts w:ascii="Times New Roman" w:hAnsi="Times New Roman"/>
          <w:i/>
          <w:iCs/>
          <w:sz w:val="20"/>
          <w:szCs w:val="20"/>
        </w:rPr>
      </w:pPr>
      <w:r>
        <w:rPr>
          <w:rFonts w:ascii="Times New Roman" w:hAnsi="Times New Roman" w:eastAsia="宋体"/>
          <w:i/>
          <w:iCs/>
          <w:sz w:val="20"/>
          <w:szCs w:val="20"/>
        </w:rPr>
        <w:t xml:space="preserve">Y = </w:t>
      </w:r>
      <w:r>
        <w:rPr>
          <w:rFonts w:ascii="Times New Roman" w:hAnsi="Times New Roman" w:eastAsia="宋体"/>
          <w:i/>
          <w:iCs/>
          <w:color w:val="C00000"/>
          <w:sz w:val="20"/>
          <w:szCs w:val="20"/>
        </w:rPr>
        <w:t>0.2</w:t>
      </w:r>
      <w:r>
        <w:rPr>
          <w:rFonts w:ascii="Times New Roman" w:hAnsi="Times New Roman" w:eastAsia="宋体"/>
          <w:i/>
          <w:iCs/>
          <w:sz w:val="20"/>
          <w:szCs w:val="20"/>
        </w:rPr>
        <w:t xml:space="preserve"> or </w:t>
      </w:r>
      <w:r>
        <w:rPr>
          <w:rFonts w:ascii="Times New Roman" w:hAnsi="Times New Roman" w:eastAsia="宋体"/>
          <w:i/>
          <w:iCs/>
          <w:color w:val="C00000"/>
          <w:sz w:val="20"/>
          <w:szCs w:val="20"/>
        </w:rPr>
        <w:t>1</w:t>
      </w:r>
      <w:r>
        <w:rPr>
          <w:rFonts w:ascii="Times New Roman" w:hAnsi="Times New Roman" w:eastAsia="宋体"/>
          <w:i/>
          <w:iCs/>
          <w:sz w:val="20"/>
          <w:szCs w:val="20"/>
        </w:rPr>
        <w:t xml:space="preserve"> m</w:t>
      </w:r>
    </w:p>
    <w:p>
      <w:pPr>
        <w:pStyle w:val="3"/>
        <w:numPr>
          <w:ilvl w:val="1"/>
          <w:numId w:val="0"/>
        </w:numPr>
        <w:snapToGrid w:val="0"/>
        <w:spacing w:line="240" w:lineRule="auto"/>
        <w:rPr>
          <w:rFonts w:ascii="Times New Roman" w:hAnsi="Times New Roman"/>
          <w:sz w:val="21"/>
          <w:szCs w:val="21"/>
          <w:u w:val="single"/>
          <w:lang w:val="en-US"/>
        </w:rPr>
      </w:pPr>
      <w:r>
        <w:rPr>
          <w:rFonts w:hint="eastAsia" w:ascii="Times New Roman" w:hAnsi="Times New Roman"/>
          <w:sz w:val="21"/>
          <w:szCs w:val="21"/>
          <w:u w:val="single"/>
          <w:lang w:val="en-US"/>
        </w:rPr>
        <w:t>Issue#2: Definition for physical latency requirements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Regarding to the latency requirement, RAN1 sent an LS in RAN1#102-e meeting to ask </w:t>
      </w:r>
      <w:r>
        <w:rPr>
          <w:rFonts w:ascii="Times New Roman" w:hAnsi="Times New Roman"/>
          <w:sz w:val="20"/>
          <w:szCs w:val="20"/>
        </w:rPr>
        <w:t xml:space="preserve">RAN2 for </w:t>
      </w:r>
      <w:r>
        <w:rPr>
          <w:rFonts w:hint="eastAsia" w:ascii="Times New Roman" w:hAnsi="Times New Roman"/>
          <w:sz w:val="20"/>
          <w:szCs w:val="20"/>
        </w:rPr>
        <w:t xml:space="preserve">the input on latency components of NR/NG-RAN/5GC higher layer positioning protocols. Meanwhile, RAN1 </w:t>
      </w:r>
      <w:r>
        <w:rPr>
          <w:rFonts w:ascii="Times New Roman" w:hAnsi="Times New Roman"/>
          <w:sz w:val="20"/>
          <w:szCs w:val="20"/>
        </w:rPr>
        <w:t xml:space="preserve">has </w:t>
      </w:r>
      <w:r>
        <w:rPr>
          <w:rFonts w:hint="eastAsia" w:ascii="Times New Roman" w:hAnsi="Times New Roman"/>
          <w:sz w:val="20"/>
          <w:szCs w:val="20"/>
        </w:rPr>
        <w:t>defined physical layer latency as shown in the following agreement</w:t>
      </w:r>
      <w:r>
        <w:rPr>
          <w:rFonts w:ascii="Times New Roman" w:hAnsi="Times New Roman"/>
          <w:sz w:val="20"/>
          <w:szCs w:val="20"/>
        </w:rPr>
        <w:t xml:space="preserve"> </w:t>
      </w:r>
      <w:r>
        <w:rPr>
          <w:rFonts w:hint="eastAsia" w:ascii="Times New Roman" w:hAnsi="Times New Roman"/>
          <w:sz w:val="20"/>
          <w:szCs w:val="20"/>
        </w:rPr>
        <w:t xml:space="preserve">[3]. </w:t>
      </w:r>
    </w:p>
    <w:p>
      <w:pPr>
        <w:snapToGrid w:val="0"/>
        <w:spacing w:after="0" w:line="240" w:lineRule="auto"/>
        <w:jc w:val="both"/>
        <w:rPr>
          <w:rFonts w:ascii="Times New Roman" w:hAnsi="Times New Roman" w:eastAsia="Malgun Gothic"/>
          <w:sz w:val="20"/>
          <w:szCs w:val="20"/>
        </w:rPr>
      </w:pPr>
      <w:r>
        <w:rPr>
          <w:rFonts w:hint="eastAsia" w:ascii="Times New Roman" w:hAnsi="Times New Roman"/>
          <w:i/>
          <w:iCs/>
          <w:sz w:val="20"/>
          <w:szCs w:val="20"/>
          <w:u w:val="single"/>
        </w:rPr>
        <w:t>Agreement:</w:t>
      </w:r>
    </w:p>
    <w:p>
      <w:pPr>
        <w:snapToGrid w:val="0"/>
        <w:spacing w:line="240" w:lineRule="auto"/>
        <w:rPr>
          <w:rFonts w:ascii="Times New Roman" w:hAnsi="Times New Roman"/>
          <w:i/>
          <w:iCs/>
          <w:sz w:val="20"/>
          <w:szCs w:val="20"/>
          <w:lang w:eastAsia="en-US"/>
        </w:rPr>
      </w:pPr>
      <w:r>
        <w:rPr>
          <w:rFonts w:ascii="Times New Roman" w:hAnsi="Times New Roman" w:eastAsia="Malgun Gothic"/>
          <w:i/>
          <w:iCs/>
          <w:sz w:val="20"/>
          <w:szCs w:val="20"/>
        </w:rPr>
        <w:t>Physical Layer Latency Start and End times are defined as follows:</w:t>
      </w:r>
    </w:p>
    <w:tbl>
      <w:tblPr>
        <w:tblStyle w:val="23"/>
        <w:tblW w:w="0" w:type="auto"/>
        <w:tblInd w:w="0" w:type="dxa"/>
        <w:tblLayout w:type="fixed"/>
        <w:tblCellMar>
          <w:top w:w="0" w:type="dxa"/>
          <w:left w:w="0" w:type="dxa"/>
          <w:bottom w:w="0" w:type="dxa"/>
          <w:right w:w="0" w:type="dxa"/>
        </w:tblCellMar>
      </w:tblPr>
      <w:tblGrid>
        <w:gridCol w:w="2653"/>
        <w:gridCol w:w="3086"/>
        <w:gridCol w:w="3246"/>
      </w:tblGrid>
      <w:tr>
        <w:tblPrEx>
          <w:tblCellMar>
            <w:top w:w="0" w:type="dxa"/>
            <w:left w:w="0" w:type="dxa"/>
            <w:bottom w:w="0" w:type="dxa"/>
            <w:right w:w="0" w:type="dxa"/>
          </w:tblCellMar>
        </w:tblPrEx>
        <w:trPr>
          <w:trHeight w:val="466" w:hRule="atLeast"/>
        </w:trPr>
        <w:tc>
          <w:tcPr>
            <w:tcW w:w="265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Method</w:t>
            </w:r>
          </w:p>
        </w:tc>
        <w:tc>
          <w:tcPr>
            <w:tcW w:w="308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Start</w:t>
            </w:r>
          </w:p>
        </w:tc>
        <w:tc>
          <w:tcPr>
            <w:tcW w:w="324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End</w:t>
            </w:r>
          </w:p>
        </w:tc>
      </w:tr>
      <w:tr>
        <w:tblPrEx>
          <w:tblCellMar>
            <w:top w:w="0" w:type="dxa"/>
            <w:left w:w="0" w:type="dxa"/>
            <w:bottom w:w="0" w:type="dxa"/>
            <w:right w:w="0" w:type="dxa"/>
          </w:tblCellMar>
        </w:tblPrEx>
        <w:trPr>
          <w:trHeight w:val="452" w:hRule="atLeast"/>
        </w:trPr>
        <w:tc>
          <w:tcPr>
            <w:tcW w:w="2653"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8"/>
              <w:spacing w:after="160" w:line="231" w:lineRule="atLeast"/>
              <w:ind w:left="0"/>
              <w:rPr>
                <w:rFonts w:ascii="Times New Roman" w:hAnsi="Times New Roman"/>
                <w:sz w:val="20"/>
                <w:szCs w:val="20"/>
              </w:rPr>
            </w:pPr>
            <w:r>
              <w:rPr>
                <w:rFonts w:ascii="Times New Roman" w:hAnsi="Times New Roman"/>
                <w:sz w:val="20"/>
                <w:szCs w:val="20"/>
              </w:rPr>
              <w:t>UE assisted DL-only &amp; DL-ECID</w:t>
            </w:r>
            <w:r>
              <w:rPr>
                <w:rStyle w:val="62"/>
                <w:rFonts w:ascii="Times New Roman" w:hAnsi="Times New Roman"/>
                <w:sz w:val="20"/>
                <w:szCs w:val="20"/>
              </w:rPr>
              <w:t> </w:t>
            </w:r>
            <w:r>
              <w:rPr>
                <w:rFonts w:ascii="Times New Roman" w:hAnsi="Times New Roman"/>
                <w:sz w:val="20"/>
                <w:szCs w:val="20"/>
              </w:rPr>
              <w:t>&amp; Multi-RTT</w:t>
            </w:r>
          </w:p>
        </w:tc>
        <w:tc>
          <w:tcPr>
            <w:tcW w:w="3086" w:type="dxa"/>
            <w:tcBorders>
              <w:top w:val="nil"/>
              <w:left w:val="nil"/>
              <w:bottom w:val="single" w:color="auto" w:sz="8" w:space="0"/>
              <w:right w:val="single" w:color="auto" w:sz="8" w:space="0"/>
            </w:tcBorders>
            <w:tcMar>
              <w:top w:w="0" w:type="dxa"/>
              <w:left w:w="108" w:type="dxa"/>
              <w:bottom w:w="0" w:type="dxa"/>
              <w:right w:w="108" w:type="dxa"/>
            </w:tcMar>
          </w:tcPr>
          <w:p>
            <w:pPr>
              <w:rPr>
                <w:rFonts w:ascii="Times New Roman" w:hAnsi="Times New Roman"/>
                <w:sz w:val="20"/>
                <w:szCs w:val="20"/>
              </w:rPr>
            </w:pPr>
            <w:r>
              <w:rPr>
                <w:rFonts w:ascii="Times New Roman" w:hAnsi="Times New Roman"/>
                <w:sz w:val="20"/>
                <w:szCs w:val="20"/>
              </w:rPr>
              <w:t>Transmission of the PDSCH from the gNB carrying the LPP Request Location Information message</w:t>
            </w:r>
          </w:p>
        </w:tc>
        <w:tc>
          <w:tcPr>
            <w:tcW w:w="3246" w:type="dxa"/>
            <w:tcBorders>
              <w:top w:val="nil"/>
              <w:left w:val="nil"/>
              <w:bottom w:val="single" w:color="auto" w:sz="8" w:space="0"/>
              <w:right w:val="single" w:color="auto" w:sz="8" w:space="0"/>
            </w:tcBorders>
            <w:tcMar>
              <w:top w:w="0" w:type="dxa"/>
              <w:left w:w="108" w:type="dxa"/>
              <w:bottom w:w="0" w:type="dxa"/>
              <w:right w:w="108" w:type="dxa"/>
            </w:tcMar>
          </w:tcPr>
          <w:p>
            <w:pPr>
              <w:rPr>
                <w:rFonts w:ascii="Times New Roman" w:hAnsi="Times New Roman"/>
                <w:sz w:val="20"/>
                <w:szCs w:val="20"/>
              </w:rPr>
            </w:pPr>
            <w:r>
              <w:rPr>
                <w:rFonts w:ascii="Times New Roman" w:hAnsi="Times New Roman"/>
                <w:sz w:val="20"/>
                <w:szCs w:val="20"/>
              </w:rPr>
              <w:t xml:space="preserve">Successful decoding of the PUSCH carrying the LPP Provide Location Information message </w:t>
            </w:r>
          </w:p>
        </w:tc>
      </w:tr>
      <w:tr>
        <w:tblPrEx>
          <w:tblCellMar>
            <w:top w:w="0" w:type="dxa"/>
            <w:left w:w="0" w:type="dxa"/>
            <w:bottom w:w="0" w:type="dxa"/>
            <w:right w:w="0" w:type="dxa"/>
          </w:tblCellMar>
        </w:tblPrEx>
        <w:trPr>
          <w:trHeight w:val="440" w:hRule="atLeast"/>
        </w:trPr>
        <w:tc>
          <w:tcPr>
            <w:tcW w:w="2653"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8"/>
              <w:spacing w:after="160" w:line="231" w:lineRule="atLeast"/>
              <w:ind w:left="0"/>
              <w:rPr>
                <w:rFonts w:ascii="Times New Roman" w:hAnsi="Times New Roman"/>
                <w:sz w:val="20"/>
                <w:szCs w:val="20"/>
              </w:rPr>
            </w:pPr>
            <w:r>
              <w:rPr>
                <w:rFonts w:ascii="Times New Roman" w:hAnsi="Times New Roman"/>
                <w:sz w:val="20"/>
                <w:szCs w:val="20"/>
              </w:rPr>
              <w:t>UL-only method &amp; UL ECID</w:t>
            </w:r>
            <w:r>
              <w:rPr>
                <w:rStyle w:val="62"/>
                <w:rFonts w:ascii="Times New Roman" w:hAnsi="Times New Roman"/>
                <w:sz w:val="20"/>
                <w:szCs w:val="20"/>
              </w:rPr>
              <w:t> </w:t>
            </w:r>
            <w:r>
              <w:rPr>
                <w:rFonts w:ascii="Times New Roman" w:hAnsi="Times New Roman"/>
                <w:sz w:val="20"/>
                <w:szCs w:val="20"/>
              </w:rPr>
              <w:t>&amp; Multi-RTT</w:t>
            </w:r>
          </w:p>
        </w:tc>
        <w:tc>
          <w:tcPr>
            <w:tcW w:w="3086" w:type="dxa"/>
            <w:tcBorders>
              <w:top w:val="nil"/>
              <w:left w:val="nil"/>
              <w:bottom w:val="single" w:color="auto" w:sz="8" w:space="0"/>
              <w:right w:val="single" w:color="auto" w:sz="8" w:space="0"/>
            </w:tcBorders>
            <w:tcMar>
              <w:top w:w="0" w:type="dxa"/>
              <w:left w:w="108" w:type="dxa"/>
              <w:bottom w:w="0" w:type="dxa"/>
              <w:right w:w="108" w:type="dxa"/>
            </w:tcMar>
          </w:tcPr>
          <w:p>
            <w:pPr>
              <w:spacing w:before="60"/>
              <w:rPr>
                <w:rFonts w:ascii="Times New Roman" w:hAnsi="Times New Roman"/>
                <w:sz w:val="20"/>
                <w:szCs w:val="20"/>
              </w:rPr>
            </w:pPr>
            <w:r>
              <w:rPr>
                <w:rFonts w:ascii="Times New Roman" w:hAnsi="Times New Roman"/>
                <w:sz w:val="20"/>
                <w:szCs w:val="20"/>
              </w:rPr>
              <w:t>Reception by the</w:t>
            </w:r>
            <w:r>
              <w:rPr>
                <w:rStyle w:val="62"/>
                <w:rFonts w:ascii="Times New Roman" w:hAnsi="Times New Roman"/>
                <w:sz w:val="20"/>
                <w:szCs w:val="20"/>
              </w:rPr>
              <w:t> </w:t>
            </w:r>
            <w:r>
              <w:rPr>
                <w:rFonts w:ascii="Times New Roman" w:hAnsi="Times New Roman"/>
                <w:sz w:val="20"/>
                <w:szCs w:val="20"/>
              </w:rPr>
              <w:t>gNB</w:t>
            </w:r>
            <w:r>
              <w:rPr>
                <w:rStyle w:val="62"/>
                <w:rFonts w:ascii="Times New Roman" w:hAnsi="Times New Roman"/>
                <w:sz w:val="20"/>
                <w:szCs w:val="20"/>
              </w:rPr>
              <w:t> </w:t>
            </w:r>
            <w:r>
              <w:rPr>
                <w:rFonts w:ascii="Times New Roman" w:hAnsi="Times New Roman"/>
                <w:sz w:val="20"/>
                <w:szCs w:val="20"/>
              </w:rPr>
              <w:t>of the NRPPa measurement request message</w:t>
            </w:r>
          </w:p>
        </w:tc>
        <w:tc>
          <w:tcPr>
            <w:tcW w:w="3246" w:type="dxa"/>
            <w:tcBorders>
              <w:top w:val="nil"/>
              <w:left w:val="nil"/>
              <w:bottom w:val="single" w:color="auto" w:sz="8" w:space="0"/>
              <w:right w:val="single" w:color="auto" w:sz="8" w:space="0"/>
            </w:tcBorders>
            <w:tcMar>
              <w:top w:w="0" w:type="dxa"/>
              <w:left w:w="108" w:type="dxa"/>
              <w:bottom w:w="0" w:type="dxa"/>
              <w:right w:w="108" w:type="dxa"/>
            </w:tcMar>
          </w:tcPr>
          <w:p>
            <w:pPr>
              <w:spacing w:before="60"/>
              <w:rPr>
                <w:rFonts w:ascii="Times New Roman" w:hAnsi="Times New Roman"/>
                <w:sz w:val="20"/>
                <w:szCs w:val="20"/>
              </w:rPr>
            </w:pPr>
            <w:r>
              <w:rPr>
                <w:rFonts w:ascii="Times New Roman" w:hAnsi="Times New Roman"/>
                <w:sz w:val="20"/>
                <w:szCs w:val="20"/>
              </w:rPr>
              <w:t>The transmission by the</w:t>
            </w:r>
            <w:r>
              <w:rPr>
                <w:rStyle w:val="62"/>
                <w:rFonts w:ascii="Times New Roman" w:hAnsi="Times New Roman"/>
                <w:sz w:val="20"/>
                <w:szCs w:val="20"/>
              </w:rPr>
              <w:t> </w:t>
            </w:r>
            <w:r>
              <w:rPr>
                <w:rFonts w:ascii="Times New Roman" w:hAnsi="Times New Roman"/>
                <w:sz w:val="20"/>
                <w:szCs w:val="20"/>
              </w:rPr>
              <w:t>gNB</w:t>
            </w:r>
            <w:r>
              <w:rPr>
                <w:rStyle w:val="62"/>
                <w:rFonts w:ascii="Times New Roman" w:hAnsi="Times New Roman"/>
                <w:sz w:val="20"/>
                <w:szCs w:val="20"/>
              </w:rPr>
              <w:t> </w:t>
            </w:r>
            <w:r>
              <w:rPr>
                <w:rFonts w:ascii="Times New Roman" w:hAnsi="Times New Roman"/>
                <w:sz w:val="20"/>
                <w:szCs w:val="20"/>
              </w:rPr>
              <w:t>of the NRPPa measurement response message</w:t>
            </w:r>
          </w:p>
        </w:tc>
      </w:tr>
      <w:tr>
        <w:tblPrEx>
          <w:tblCellMar>
            <w:top w:w="0" w:type="dxa"/>
            <w:left w:w="0" w:type="dxa"/>
            <w:bottom w:w="0" w:type="dxa"/>
            <w:right w:w="0" w:type="dxa"/>
          </w:tblCellMar>
        </w:tblPrEx>
        <w:trPr>
          <w:trHeight w:val="466" w:hRule="atLeast"/>
        </w:trPr>
        <w:tc>
          <w:tcPr>
            <w:tcW w:w="2653"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8"/>
              <w:spacing w:after="160" w:line="231" w:lineRule="atLeast"/>
              <w:ind w:left="0"/>
              <w:rPr>
                <w:rFonts w:ascii="Times New Roman" w:hAnsi="Times New Roman"/>
                <w:sz w:val="20"/>
                <w:szCs w:val="20"/>
              </w:rPr>
            </w:pPr>
            <w:r>
              <w:rPr>
                <w:rFonts w:ascii="Times New Roman" w:hAnsi="Times New Roman"/>
                <w:sz w:val="20"/>
                <w:szCs w:val="20"/>
              </w:rPr>
              <w:t>UE-based</w:t>
            </w:r>
          </w:p>
        </w:tc>
        <w:tc>
          <w:tcPr>
            <w:tcW w:w="3086" w:type="dxa"/>
            <w:tcBorders>
              <w:top w:val="nil"/>
              <w:left w:val="nil"/>
              <w:bottom w:val="single" w:color="auto" w:sz="8" w:space="0"/>
              <w:right w:val="single" w:color="auto" w:sz="8" w:space="0"/>
            </w:tcBorders>
            <w:tcMar>
              <w:top w:w="0" w:type="dxa"/>
              <w:left w:w="108" w:type="dxa"/>
              <w:bottom w:w="0" w:type="dxa"/>
              <w:right w:w="108" w:type="dxa"/>
            </w:tcMar>
          </w:tcPr>
          <w:p>
            <w:pPr>
              <w:pStyle w:val="89"/>
              <w:spacing w:line="231" w:lineRule="atLeast"/>
              <w:ind w:left="0"/>
              <w:rPr>
                <w:rFonts w:ascii="Times New Roman" w:hAnsi="Times New Roman" w:cs="Times New Roman"/>
                <w:sz w:val="20"/>
                <w:szCs w:val="20"/>
                <w:lang w:val="en-GB"/>
              </w:rPr>
            </w:pPr>
            <w:r>
              <w:rPr>
                <w:rFonts w:ascii="Times New Roman" w:hAnsi="Times New Roman" w:cs="Times New Roman"/>
                <w:sz w:val="20"/>
                <w:szCs w:val="20"/>
                <w:lang w:val="en-GB"/>
              </w:rPr>
              <w:t>Transmission of the PDSCH from the gNB carrying the LPP Request Location Information if applicable, otherwise,</w:t>
            </w:r>
          </w:p>
          <w:p>
            <w:pPr>
              <w:pStyle w:val="89"/>
              <w:numPr>
                <w:ilvl w:val="0"/>
                <w:numId w:val="5"/>
              </w:numPr>
              <w:spacing w:line="231" w:lineRule="atLeast"/>
              <w:rPr>
                <w:rFonts w:ascii="Times New Roman" w:hAnsi="Times New Roman" w:cs="Times New Roman"/>
                <w:sz w:val="20"/>
                <w:szCs w:val="20"/>
              </w:rPr>
            </w:pPr>
            <w:r>
              <w:rPr>
                <w:rFonts w:ascii="Times New Roman" w:hAnsi="Times New Roman" w:cs="Times New Roman"/>
                <w:sz w:val="20"/>
                <w:szCs w:val="20"/>
                <w:lang w:val="en-GB"/>
              </w:rPr>
              <w:t>Alt. 1: transmission of the PUSCH carrying the MG Request from the UE.</w:t>
            </w:r>
          </w:p>
          <w:p>
            <w:pPr>
              <w:pStyle w:val="89"/>
              <w:numPr>
                <w:ilvl w:val="0"/>
                <w:numId w:val="5"/>
              </w:numPr>
              <w:spacing w:line="231" w:lineRule="atLeast"/>
              <w:rPr>
                <w:rFonts w:ascii="Times New Roman" w:hAnsi="Times New Roman" w:cs="Times New Roman"/>
                <w:sz w:val="20"/>
                <w:szCs w:val="20"/>
                <w:lang w:val="en-GB"/>
              </w:rPr>
            </w:pPr>
            <w:r>
              <w:rPr>
                <w:rFonts w:ascii="Times New Roman" w:hAnsi="Times New Roman" w:cs="Times New Roman"/>
                <w:sz w:val="20"/>
                <w:szCs w:val="20"/>
                <w:lang w:val="en-GB"/>
              </w:rPr>
              <w:t>Alt. 2: Transmission of the PDSCH from the gNB carrying the LPP message containing the assistance data</w:t>
            </w:r>
          </w:p>
          <w:p>
            <w:pPr>
              <w:pStyle w:val="89"/>
              <w:numPr>
                <w:ilvl w:val="0"/>
                <w:numId w:val="5"/>
              </w:numPr>
              <w:spacing w:line="231" w:lineRule="atLeast"/>
              <w:rPr>
                <w:rFonts w:ascii="Times New Roman" w:hAnsi="Times New Roman" w:cs="Times New Roman"/>
                <w:sz w:val="20"/>
                <w:szCs w:val="20"/>
                <w:lang w:val="en-GB"/>
              </w:rPr>
            </w:pPr>
            <w:r>
              <w:rPr>
                <w:rFonts w:ascii="Times New Roman" w:hAnsi="Times New Roman" w:cs="Times New Roman"/>
                <w:sz w:val="20"/>
                <w:szCs w:val="20"/>
                <w:lang w:val="en-GB"/>
              </w:rPr>
              <w:t>Alt. 3: Start of the Reception of DL PRS</w:t>
            </w:r>
          </w:p>
          <w:p>
            <w:pPr>
              <w:pStyle w:val="88"/>
              <w:spacing w:line="231" w:lineRule="atLeast"/>
              <w:ind w:left="880"/>
              <w:rPr>
                <w:rFonts w:ascii="Times New Roman" w:hAnsi="Times New Roman"/>
                <w:sz w:val="20"/>
                <w:szCs w:val="20"/>
                <w:lang w:val="en-GB"/>
              </w:rPr>
            </w:pPr>
            <w:r>
              <w:rPr>
                <w:rFonts w:ascii="Times New Roman" w:hAnsi="Times New Roman"/>
                <w:sz w:val="20"/>
                <w:szCs w:val="20"/>
                <w:u w:val="single"/>
              </w:rPr>
              <w:t>Note</w:t>
            </w:r>
            <w:r>
              <w:rPr>
                <w:rFonts w:ascii="Times New Roman" w:hAnsi="Times New Roman"/>
                <w:sz w:val="20"/>
                <w:szCs w:val="20"/>
              </w:rPr>
              <w:t>: Suggest to downselect this at the next meeting.</w:t>
            </w:r>
          </w:p>
          <w:p>
            <w:pPr>
              <w:pStyle w:val="88"/>
              <w:spacing w:line="231" w:lineRule="atLeast"/>
              <w:ind w:left="880"/>
              <w:rPr>
                <w:rFonts w:ascii="Times New Roman" w:hAnsi="Times New Roman"/>
                <w:sz w:val="20"/>
                <w:szCs w:val="20"/>
              </w:rPr>
            </w:pPr>
            <w:r>
              <w:rPr>
                <w:rFonts w:ascii="Times New Roman" w:hAnsi="Times New Roman"/>
                <w:sz w:val="20"/>
                <w:szCs w:val="20"/>
                <w:u w:val="single"/>
              </w:rPr>
              <w:t>Note</w:t>
            </w:r>
            <w:r>
              <w:rPr>
                <w:rFonts w:ascii="Times New Roman" w:hAnsi="Times New Roman"/>
                <w:sz w:val="20"/>
                <w:szCs w:val="20"/>
              </w:rPr>
              <w:t>: The high layers latency components may be subject to adjustment for different alternatives.</w:t>
            </w:r>
          </w:p>
        </w:tc>
        <w:tc>
          <w:tcPr>
            <w:tcW w:w="3246" w:type="dxa"/>
            <w:tcBorders>
              <w:top w:val="nil"/>
              <w:left w:val="nil"/>
              <w:bottom w:val="single" w:color="auto" w:sz="8" w:space="0"/>
              <w:right w:val="single" w:color="auto" w:sz="8" w:space="0"/>
            </w:tcBorders>
            <w:tcMar>
              <w:top w:w="0" w:type="dxa"/>
              <w:left w:w="108" w:type="dxa"/>
              <w:bottom w:w="0" w:type="dxa"/>
              <w:right w:w="108" w:type="dxa"/>
            </w:tcMar>
          </w:tcPr>
          <w:p>
            <w:pPr>
              <w:pStyle w:val="89"/>
              <w:spacing w:line="231" w:lineRule="atLeast"/>
              <w:ind w:left="0"/>
              <w:rPr>
                <w:rFonts w:ascii="Times New Roman" w:hAnsi="Times New Roman" w:cs="Times New Roman"/>
                <w:sz w:val="20"/>
                <w:szCs w:val="20"/>
              </w:rPr>
            </w:pPr>
            <w:r>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pPr>
              <w:pStyle w:val="88"/>
              <w:spacing w:line="231" w:lineRule="atLeast"/>
              <w:ind w:left="880"/>
              <w:rPr>
                <w:rFonts w:ascii="Times New Roman" w:hAnsi="Times New Roman"/>
                <w:sz w:val="20"/>
                <w:szCs w:val="20"/>
              </w:rPr>
            </w:pPr>
            <w:r>
              <w:rPr>
                <w:rFonts w:ascii="Times New Roman" w:hAnsi="Times New Roman"/>
                <w:sz w:val="20"/>
                <w:szCs w:val="20"/>
              </w:rPr>
              <w:t> </w:t>
            </w:r>
          </w:p>
        </w:tc>
      </w:tr>
    </w:tbl>
    <w:p>
      <w:pPr>
        <w:snapToGrid w:val="0"/>
        <w:spacing w:before="180" w:beforeLines="50" w:after="180" w:afterLines="50" w:line="240" w:lineRule="auto"/>
        <w:jc w:val="both"/>
        <w:rPr>
          <w:rFonts w:ascii="Times New Roman" w:hAnsi="Times New Roman"/>
          <w:b/>
          <w:bCs/>
          <w:i/>
          <w:iCs/>
          <w:sz w:val="20"/>
          <w:szCs w:val="20"/>
        </w:rPr>
      </w:pP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From the agreed table, there are still three options to be down-selected for UE based positioning method. In our view, Alt.1 is not appropriate since a UE may not need to request MG, e.g. MG has been configured before positioning service is triggered. In such case, how to define the start time will be unclear. Compared with Alt.3, Alt.2 is more aligned with the agreed definition for UE assisted method in which the start time is the PDSCH transmission carrying LPP message rather than DL PRS reception time. Therefore, we suggest using Alt.2.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w:t>
      </w:r>
      <w:r>
        <w:rPr>
          <w:rFonts w:hint="eastAsia" w:ascii="Times New Roman" w:hAnsi="Times New Roman"/>
          <w:sz w:val="20"/>
          <w:szCs w:val="20"/>
        </w:rPr>
        <w:t xml:space="preserve"> </w:t>
      </w:r>
      <w:r>
        <w:rPr>
          <w:rFonts w:hint="eastAsia" w:ascii="Times New Roman" w:hAnsi="Times New Roman"/>
          <w:i/>
          <w:iCs/>
          <w:sz w:val="20"/>
          <w:szCs w:val="20"/>
        </w:rPr>
        <w:t xml:space="preserve">Alt.2 is used to define </w:t>
      </w:r>
      <w:r>
        <w:rPr>
          <w:rFonts w:ascii="Times New Roman" w:hAnsi="Times New Roman" w:eastAsia="Malgun Gothic"/>
          <w:i/>
          <w:iCs/>
          <w:sz w:val="20"/>
          <w:szCs w:val="20"/>
        </w:rPr>
        <w:t>Physical Layer Latency Start tim</w:t>
      </w:r>
      <w:r>
        <w:rPr>
          <w:rFonts w:hint="eastAsia" w:ascii="Times New Roman" w:hAnsi="Times New Roman" w:eastAsia="宋体"/>
          <w:i/>
          <w:iCs/>
          <w:sz w:val="20"/>
          <w:szCs w:val="20"/>
        </w:rPr>
        <w:t xml:space="preserve">e </w:t>
      </w:r>
      <w:r>
        <w:rPr>
          <w:rFonts w:hint="eastAsia" w:ascii="Times New Roman" w:hAnsi="Times New Roman"/>
          <w:i/>
          <w:iCs/>
          <w:sz w:val="20"/>
          <w:szCs w:val="20"/>
        </w:rPr>
        <w:t>for UE based method, i.e.</w:t>
      </w:r>
    </w:p>
    <w:tbl>
      <w:tblPr>
        <w:tblStyle w:val="23"/>
        <w:tblW w:w="0" w:type="auto"/>
        <w:tblInd w:w="0" w:type="dxa"/>
        <w:tblLayout w:type="fixed"/>
        <w:tblCellMar>
          <w:top w:w="0" w:type="dxa"/>
          <w:left w:w="0" w:type="dxa"/>
          <w:bottom w:w="0" w:type="dxa"/>
          <w:right w:w="0" w:type="dxa"/>
        </w:tblCellMar>
      </w:tblPr>
      <w:tblGrid>
        <w:gridCol w:w="2653"/>
        <w:gridCol w:w="3086"/>
        <w:gridCol w:w="3246"/>
      </w:tblGrid>
      <w:tr>
        <w:tblPrEx>
          <w:tblCellMar>
            <w:top w:w="0" w:type="dxa"/>
            <w:left w:w="0" w:type="dxa"/>
            <w:bottom w:w="0" w:type="dxa"/>
            <w:right w:w="0" w:type="dxa"/>
          </w:tblCellMar>
        </w:tblPrEx>
        <w:trPr>
          <w:trHeight w:val="466" w:hRule="atLeast"/>
        </w:trPr>
        <w:tc>
          <w:tcPr>
            <w:tcW w:w="265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Method</w:t>
            </w:r>
          </w:p>
        </w:tc>
        <w:tc>
          <w:tcPr>
            <w:tcW w:w="308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Start</w:t>
            </w:r>
          </w:p>
        </w:tc>
        <w:tc>
          <w:tcPr>
            <w:tcW w:w="324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End</w:t>
            </w:r>
          </w:p>
        </w:tc>
      </w:tr>
      <w:tr>
        <w:tblPrEx>
          <w:tblCellMar>
            <w:top w:w="0" w:type="dxa"/>
            <w:left w:w="0" w:type="dxa"/>
            <w:bottom w:w="0" w:type="dxa"/>
            <w:right w:w="0" w:type="dxa"/>
          </w:tblCellMar>
        </w:tblPrEx>
        <w:trPr>
          <w:trHeight w:val="466" w:hRule="atLeast"/>
        </w:trPr>
        <w:tc>
          <w:tcPr>
            <w:tcW w:w="2653"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8"/>
              <w:spacing w:after="160" w:line="231" w:lineRule="atLeast"/>
              <w:ind w:left="0"/>
              <w:rPr>
                <w:rFonts w:ascii="Times New Roman" w:hAnsi="Times New Roman"/>
                <w:sz w:val="20"/>
                <w:szCs w:val="20"/>
              </w:rPr>
            </w:pPr>
            <w:r>
              <w:rPr>
                <w:rFonts w:ascii="Times New Roman" w:hAnsi="Times New Roman"/>
                <w:sz w:val="20"/>
                <w:szCs w:val="20"/>
              </w:rPr>
              <w:t>UE-based</w:t>
            </w:r>
          </w:p>
        </w:tc>
        <w:tc>
          <w:tcPr>
            <w:tcW w:w="3086" w:type="dxa"/>
            <w:tcBorders>
              <w:top w:val="nil"/>
              <w:left w:val="nil"/>
              <w:bottom w:val="single" w:color="auto" w:sz="8" w:space="0"/>
              <w:right w:val="single" w:color="auto" w:sz="8" w:space="0"/>
            </w:tcBorders>
            <w:tcMar>
              <w:top w:w="0" w:type="dxa"/>
              <w:left w:w="108" w:type="dxa"/>
              <w:bottom w:w="0" w:type="dxa"/>
              <w:right w:w="108" w:type="dxa"/>
            </w:tcMar>
          </w:tcPr>
          <w:p>
            <w:pPr>
              <w:pStyle w:val="89"/>
              <w:spacing w:line="231" w:lineRule="atLeast"/>
              <w:ind w:left="0"/>
              <w:rPr>
                <w:rFonts w:ascii="Times New Roman" w:hAnsi="Times New Roman" w:cs="Times New Roman"/>
                <w:sz w:val="20"/>
                <w:szCs w:val="20"/>
                <w:lang w:val="en-GB"/>
              </w:rPr>
            </w:pPr>
            <w:r>
              <w:rPr>
                <w:rFonts w:ascii="Times New Roman" w:hAnsi="Times New Roman" w:cs="Times New Roman"/>
                <w:sz w:val="20"/>
                <w:szCs w:val="20"/>
                <w:lang w:val="en-GB"/>
              </w:rPr>
              <w:t>Transmission of the PDSCH from the gNB carrying the LPP Request Location Information if applicable, otherwise,</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color w:val="C00000"/>
                <w:sz w:val="20"/>
                <w:szCs w:val="20"/>
                <w:lang w:eastAsia="zh-CN"/>
              </w:rPr>
              <w:t>t</w:t>
            </w:r>
            <w:r>
              <w:rPr>
                <w:rFonts w:ascii="Times New Roman" w:hAnsi="Times New Roman" w:cs="Times New Roman"/>
                <w:color w:val="C00000"/>
                <w:sz w:val="20"/>
                <w:szCs w:val="20"/>
                <w:lang w:val="en-GB"/>
              </w:rPr>
              <w:t>ransmission of the PDSCH from the gNB carrying the LPP message containing the assistance data</w:t>
            </w:r>
          </w:p>
          <w:p>
            <w:pPr>
              <w:pStyle w:val="88"/>
              <w:spacing w:line="231" w:lineRule="atLeast"/>
              <w:ind w:left="880"/>
              <w:rPr>
                <w:rFonts w:ascii="Times New Roman" w:hAnsi="Times New Roman"/>
                <w:sz w:val="20"/>
                <w:szCs w:val="20"/>
              </w:rPr>
            </w:pPr>
          </w:p>
        </w:tc>
        <w:tc>
          <w:tcPr>
            <w:tcW w:w="3246" w:type="dxa"/>
            <w:tcBorders>
              <w:top w:val="nil"/>
              <w:left w:val="nil"/>
              <w:bottom w:val="single" w:color="auto" w:sz="8" w:space="0"/>
              <w:right w:val="single" w:color="auto" w:sz="8" w:space="0"/>
            </w:tcBorders>
            <w:tcMar>
              <w:top w:w="0" w:type="dxa"/>
              <w:left w:w="108" w:type="dxa"/>
              <w:bottom w:w="0" w:type="dxa"/>
              <w:right w:w="108" w:type="dxa"/>
            </w:tcMar>
          </w:tcPr>
          <w:p>
            <w:pPr>
              <w:pStyle w:val="89"/>
              <w:spacing w:line="231" w:lineRule="atLeast"/>
              <w:ind w:left="0"/>
              <w:rPr>
                <w:rFonts w:ascii="Times New Roman" w:hAnsi="Times New Roman" w:cs="Times New Roman"/>
                <w:sz w:val="20"/>
                <w:szCs w:val="20"/>
              </w:rPr>
            </w:pPr>
            <w:r>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pPr>
              <w:pStyle w:val="88"/>
              <w:spacing w:line="231" w:lineRule="atLeast"/>
              <w:ind w:left="880"/>
              <w:rPr>
                <w:rFonts w:ascii="Times New Roman" w:hAnsi="Times New Roman"/>
                <w:sz w:val="20"/>
                <w:szCs w:val="20"/>
              </w:rPr>
            </w:pPr>
            <w:r>
              <w:rPr>
                <w:rFonts w:ascii="Times New Roman" w:hAnsi="Times New Roman"/>
                <w:sz w:val="20"/>
                <w:szCs w:val="20"/>
              </w:rPr>
              <w:t> </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the analysis in our companion contribution</w:t>
      </w:r>
      <w:r>
        <w:rPr>
          <w:rFonts w:ascii="Times New Roman" w:hAnsi="Times New Roman"/>
          <w:sz w:val="20"/>
          <w:szCs w:val="20"/>
        </w:rPr>
        <w:t xml:space="preserve"> </w:t>
      </w:r>
      <w:r>
        <w:rPr>
          <w:rFonts w:hint="eastAsia" w:ascii="Times New Roman" w:hAnsi="Times New Roman"/>
          <w:sz w:val="20"/>
          <w:szCs w:val="20"/>
        </w:rPr>
        <w:t>[4] for physical layer latency, it is very hard to satisfy 10ms physical layer latency based on Rel-16 positioning procedures in most of cases,</w:t>
      </w:r>
      <w:r>
        <w:rPr>
          <w:rFonts w:ascii="Times New Roman" w:hAnsi="Times New Roman"/>
          <w:sz w:val="20"/>
          <w:szCs w:val="20"/>
        </w:rPr>
        <w:t xml:space="preserve"> </w:t>
      </w:r>
      <w:r>
        <w:rPr>
          <w:rFonts w:hint="eastAsia" w:ascii="Times New Roman" w:hAnsi="Times New Roman"/>
          <w:sz w:val="20"/>
          <w:szCs w:val="20"/>
        </w:rPr>
        <w:t>where the dominant contribut</w:t>
      </w:r>
      <w:r>
        <w:rPr>
          <w:rFonts w:ascii="Times New Roman" w:hAnsi="Times New Roman"/>
          <w:sz w:val="20"/>
          <w:szCs w:val="20"/>
        </w:rPr>
        <w:t>or</w:t>
      </w:r>
      <w:r>
        <w:rPr>
          <w:rFonts w:hint="eastAsia" w:ascii="Times New Roman" w:hAnsi="Times New Roman"/>
          <w:sz w:val="20"/>
          <w:szCs w:val="20"/>
        </w:rPr>
        <w:t xml:space="preserve">s of physical layer latency are UE positioning measurement and MG request procedures. So some potential enhancements may be needed in Rel-17, for instance, to introduce aperiodic PRS, positioning measurement/report in RRC idle/inactive state, etc.. Even with these potential solutions, it is a </w:t>
      </w:r>
      <w:bookmarkStart w:id="6" w:name="OLE_LINK2"/>
      <w:r>
        <w:rPr>
          <w:rFonts w:hint="eastAsia" w:ascii="Times New Roman" w:hAnsi="Times New Roman"/>
          <w:sz w:val="20"/>
          <w:szCs w:val="20"/>
        </w:rPr>
        <w:t xml:space="preserve">challenge </w:t>
      </w:r>
      <w:bookmarkEnd w:id="6"/>
      <w:r>
        <w:rPr>
          <w:rFonts w:hint="eastAsia" w:ascii="Times New Roman" w:hAnsi="Times New Roman"/>
          <w:sz w:val="20"/>
          <w:szCs w:val="20"/>
        </w:rPr>
        <w:t>to meet the 10ms requirement. Thus, some values smaller than 10ms for end-to-end latency seem not realistic. Considering 10ms physical layer latency target, 100ms end-to-end latency is more appropriate than 10ms end-to-end latency because of additional latency between gNB and AMF, AMF and LMF, etc. It should be noted that target positioning latency requirements may not necessarily be reached for all scenarios, especially for the stringent 10 ms physical layer latency.</w:t>
      </w:r>
    </w:p>
    <w:p>
      <w:pPr>
        <w:snapToGrid w:val="0"/>
        <w:spacing w:after="0" w:line="240" w:lineRule="auto"/>
        <w:jc w:val="both"/>
        <w:rPr>
          <w:rFonts w:ascii="Times New Roman" w:hAnsi="Times New Roman"/>
          <w:sz w:val="20"/>
          <w:szCs w:val="20"/>
        </w:rPr>
      </w:pPr>
      <w:r>
        <w:rPr>
          <w:rFonts w:hint="eastAsia" w:ascii="Times New Roman" w:hAnsi="Times New Roman"/>
          <w:b/>
          <w:bCs/>
          <w:i/>
          <w:iCs/>
          <w:sz w:val="20"/>
          <w:szCs w:val="20"/>
        </w:rPr>
        <w:t xml:space="preserve">Proposal 3: </w:t>
      </w:r>
      <w:r>
        <w:rPr>
          <w:rFonts w:hint="eastAsia" w:ascii="Times New Roman" w:hAnsi="Times New Roman"/>
          <w:i/>
          <w:iCs/>
          <w:sz w:val="20"/>
          <w:szCs w:val="20"/>
        </w:rPr>
        <w:t>Adopt following target latency requirements for Rel-17</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commercial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End-to-end latency for position estimation of UE (&lt; 100 ms)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Physical layer latency for position estimation of UE (&lt; X3)</w:t>
      </w:r>
    </w:p>
    <w:p>
      <w:pPr>
        <w:numPr>
          <w:ilvl w:val="2"/>
          <w:numId w:val="4"/>
        </w:numPr>
        <w:tabs>
          <w:tab w:val="left" w:pos="1004"/>
        </w:tabs>
        <w:snapToGrid w:val="0"/>
        <w:spacing w:after="0" w:line="240" w:lineRule="auto"/>
        <w:ind w:left="1920" w:hanging="363"/>
        <w:contextualSpacing/>
        <w:rPr>
          <w:rFonts w:ascii="Times New Roman" w:hAnsi="Times New Roman" w:eastAsia="宋体"/>
          <w:i/>
          <w:iCs/>
          <w:sz w:val="20"/>
          <w:szCs w:val="20"/>
        </w:rPr>
      </w:pPr>
      <w:r>
        <w:rPr>
          <w:rFonts w:ascii="Times New Roman" w:hAnsi="Times New Roman" w:eastAsia="宋体"/>
          <w:i/>
          <w:iCs/>
          <w:sz w:val="20"/>
          <w:szCs w:val="20"/>
        </w:rPr>
        <w:t>X3 =</w:t>
      </w:r>
      <w:r>
        <w:rPr>
          <w:rFonts w:ascii="Times New Roman" w:hAnsi="Times New Roman" w:eastAsia="宋体"/>
          <w:i/>
          <w:iCs/>
          <w:color w:val="C00000"/>
          <w:sz w:val="20"/>
          <w:szCs w:val="20"/>
        </w:rPr>
        <w:t>10</w:t>
      </w:r>
      <w:r>
        <w:rPr>
          <w:rFonts w:ascii="Times New Roman" w:hAnsi="Times New Roman" w:eastAsia="宋体"/>
          <w:i/>
          <w:iCs/>
          <w:sz w:val="20"/>
          <w:szCs w:val="20"/>
        </w:rPr>
        <w:t>ms</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IIoT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End-to-end latency for position estimation of UE (&lt; X6)</w:t>
      </w:r>
    </w:p>
    <w:p>
      <w:pPr>
        <w:numPr>
          <w:ilvl w:val="2"/>
          <w:numId w:val="4"/>
        </w:numPr>
        <w:tabs>
          <w:tab w:val="left" w:pos="1004"/>
        </w:tabs>
        <w:snapToGrid w:val="0"/>
        <w:spacing w:after="0" w:line="240" w:lineRule="auto"/>
        <w:ind w:left="192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X6 = </w:t>
      </w:r>
      <w:r>
        <w:rPr>
          <w:rFonts w:ascii="Times New Roman" w:hAnsi="Times New Roman" w:eastAsia="宋体"/>
          <w:i/>
          <w:iCs/>
          <w:color w:val="C00000"/>
          <w:sz w:val="20"/>
          <w:szCs w:val="20"/>
        </w:rPr>
        <w:t>100</w:t>
      </w:r>
      <w:r>
        <w:rPr>
          <w:rFonts w:ascii="Times New Roman" w:hAnsi="Times New Roman" w:eastAsia="宋体"/>
          <w:i/>
          <w:iCs/>
          <w:sz w:val="20"/>
          <w:szCs w:val="20"/>
        </w:rPr>
        <w:t xml:space="preserve">ms </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Physical layer latency for position estimation of UE (&lt; X7)</w:t>
      </w:r>
    </w:p>
    <w:p>
      <w:pPr>
        <w:numPr>
          <w:ilvl w:val="2"/>
          <w:numId w:val="4"/>
        </w:numPr>
        <w:tabs>
          <w:tab w:val="left" w:pos="1004"/>
        </w:tabs>
        <w:snapToGrid w:val="0"/>
        <w:spacing w:after="0" w:line="240" w:lineRule="auto"/>
        <w:ind w:left="1920" w:hanging="363"/>
        <w:contextualSpacing/>
        <w:rPr>
          <w:rFonts w:ascii="Times New Roman" w:hAnsi="Times New Roman"/>
          <w:i/>
          <w:iCs/>
          <w:sz w:val="20"/>
          <w:szCs w:val="20"/>
        </w:rPr>
      </w:pPr>
      <w:r>
        <w:rPr>
          <w:rFonts w:ascii="Times New Roman" w:hAnsi="Times New Roman" w:eastAsia="宋体"/>
          <w:i/>
          <w:iCs/>
          <w:sz w:val="20"/>
          <w:szCs w:val="20"/>
        </w:rPr>
        <w:t>o   X7 =</w:t>
      </w:r>
      <w:r>
        <w:rPr>
          <w:rFonts w:ascii="Times New Roman" w:hAnsi="Times New Roman" w:eastAsia="宋体"/>
          <w:i/>
          <w:iCs/>
          <w:color w:val="C00000"/>
          <w:sz w:val="20"/>
          <w:szCs w:val="20"/>
        </w:rPr>
        <w:t>10</w:t>
      </w:r>
      <w:r>
        <w:rPr>
          <w:rFonts w:ascii="Times New Roman" w:hAnsi="Times New Roman" w:eastAsia="宋体"/>
          <w:i/>
          <w:iCs/>
          <w:sz w:val="20"/>
          <w:szCs w:val="20"/>
        </w:rPr>
        <w:t xml:space="preserve">ms </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Conclusions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have discussed some r</w:t>
      </w:r>
      <w:r>
        <w:rPr>
          <w:rFonts w:ascii="Times New Roman" w:hAnsi="Times New Roman"/>
          <w:sz w:val="20"/>
          <w:szCs w:val="20"/>
        </w:rPr>
        <w:t>emaining issues on evaluation assumptions</w:t>
      </w:r>
      <w:r>
        <w:rPr>
          <w:rFonts w:hint="eastAsia" w:ascii="Times New Roman" w:hAnsi="Times New Roman"/>
          <w:sz w:val="20"/>
          <w:szCs w:val="20"/>
        </w:rPr>
        <w:t>. Based on the discussion, we have the following proposals,</w:t>
      </w:r>
    </w:p>
    <w:p>
      <w:pPr>
        <w:snapToGrid w:val="0"/>
        <w:spacing w:after="0" w:line="240" w:lineRule="auto"/>
        <w:jc w:val="both"/>
        <w:rPr>
          <w:rFonts w:ascii="Times New Roman" w:hAnsi="Times New Roman"/>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Adopt following target accuracy requirements for Rel-17</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commercial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Horizontal position accuracy (&lt; </w:t>
      </w:r>
      <w:r>
        <w:rPr>
          <w:rFonts w:ascii="Times New Roman" w:hAnsi="Times New Roman" w:eastAsia="宋体"/>
          <w:i/>
          <w:iCs/>
          <w:color w:val="C00000"/>
          <w:sz w:val="20"/>
          <w:szCs w:val="20"/>
        </w:rPr>
        <w:t xml:space="preserve">1 </w:t>
      </w:r>
      <w:r>
        <w:rPr>
          <w:rFonts w:ascii="Times New Roman" w:hAnsi="Times New Roman" w:eastAsia="宋体"/>
          <w:i/>
          <w:iCs/>
          <w:sz w:val="20"/>
          <w:szCs w:val="20"/>
        </w:rPr>
        <w:t xml:space="preserve">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Vertical position accuracy (&lt; </w:t>
      </w:r>
      <w:r>
        <w:rPr>
          <w:rFonts w:ascii="Times New Roman" w:hAnsi="Times New Roman" w:eastAsia="宋体"/>
          <w:i/>
          <w:iCs/>
          <w:color w:val="C00000"/>
          <w:sz w:val="20"/>
          <w:szCs w:val="20"/>
        </w:rPr>
        <w:t xml:space="preserve">3 </w:t>
      </w:r>
      <w:r>
        <w:rPr>
          <w:rFonts w:ascii="Times New Roman" w:hAnsi="Times New Roman" w:eastAsia="宋体"/>
          <w:i/>
          <w:iCs/>
          <w:sz w:val="20"/>
          <w:szCs w:val="20"/>
        </w:rPr>
        <w:t xml:space="preserve">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IIoT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Horizontal position accuracy (&lt; X 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2"/>
          <w:numId w:val="4"/>
        </w:numPr>
        <w:tabs>
          <w:tab w:val="left" w:pos="1004"/>
        </w:tabs>
        <w:snapToGrid w:val="0"/>
        <w:spacing w:after="0" w:line="240" w:lineRule="auto"/>
        <w:ind w:left="258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X = </w:t>
      </w:r>
      <w:r>
        <w:rPr>
          <w:rFonts w:ascii="Times New Roman" w:hAnsi="Times New Roman" w:eastAsia="宋体"/>
          <w:i/>
          <w:iCs/>
          <w:color w:val="C00000"/>
          <w:sz w:val="20"/>
          <w:szCs w:val="20"/>
        </w:rPr>
        <w:t>0.2</w:t>
      </w:r>
      <w:r>
        <w:rPr>
          <w:rFonts w:ascii="Times New Roman" w:hAnsi="Times New Roman" w:eastAsia="宋体"/>
          <w:i/>
          <w:iCs/>
          <w:sz w:val="20"/>
          <w:szCs w:val="20"/>
        </w:rPr>
        <w:t xml:space="preserve"> or </w:t>
      </w:r>
      <w:r>
        <w:rPr>
          <w:rFonts w:ascii="Times New Roman" w:hAnsi="Times New Roman" w:eastAsia="宋体"/>
          <w:i/>
          <w:iCs/>
          <w:color w:val="C00000"/>
          <w:sz w:val="20"/>
          <w:szCs w:val="20"/>
        </w:rPr>
        <w:t>0.5</w:t>
      </w:r>
      <w:r>
        <w:rPr>
          <w:rFonts w:ascii="Times New Roman" w:hAnsi="Times New Roman" w:eastAsia="宋体"/>
          <w:i/>
          <w:iCs/>
          <w:sz w:val="20"/>
          <w:szCs w:val="20"/>
        </w:rPr>
        <w:t xml:space="preserve"> m</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Vertical position accuracy (&lt; Y m) for </w:t>
      </w:r>
      <w:r>
        <w:rPr>
          <w:rFonts w:ascii="Times New Roman" w:hAnsi="Times New Roman" w:eastAsia="宋体"/>
          <w:i/>
          <w:iCs/>
          <w:color w:val="C00000"/>
          <w:sz w:val="20"/>
          <w:szCs w:val="20"/>
        </w:rPr>
        <w:t>90%</w:t>
      </w:r>
      <w:r>
        <w:rPr>
          <w:rFonts w:ascii="Times New Roman" w:hAnsi="Times New Roman" w:eastAsia="宋体"/>
          <w:i/>
          <w:iCs/>
          <w:sz w:val="20"/>
          <w:szCs w:val="20"/>
        </w:rPr>
        <w:t xml:space="preserve"> of UEs</w:t>
      </w:r>
    </w:p>
    <w:p>
      <w:pPr>
        <w:numPr>
          <w:ilvl w:val="2"/>
          <w:numId w:val="4"/>
        </w:numPr>
        <w:tabs>
          <w:tab w:val="left" w:pos="1004"/>
        </w:tabs>
        <w:snapToGrid w:val="0"/>
        <w:spacing w:after="0" w:line="240" w:lineRule="auto"/>
        <w:ind w:left="2580" w:hanging="363"/>
        <w:contextualSpacing/>
        <w:rPr>
          <w:rFonts w:ascii="Times New Roman" w:hAnsi="Times New Roman"/>
          <w:i/>
          <w:iCs/>
          <w:sz w:val="20"/>
          <w:szCs w:val="20"/>
        </w:rPr>
      </w:pPr>
      <w:r>
        <w:rPr>
          <w:rFonts w:ascii="Times New Roman" w:hAnsi="Times New Roman" w:eastAsia="宋体"/>
          <w:i/>
          <w:iCs/>
          <w:sz w:val="20"/>
          <w:szCs w:val="20"/>
        </w:rPr>
        <w:t xml:space="preserve">Y = </w:t>
      </w:r>
      <w:r>
        <w:rPr>
          <w:rFonts w:ascii="Times New Roman" w:hAnsi="Times New Roman" w:eastAsia="宋体"/>
          <w:i/>
          <w:iCs/>
          <w:color w:val="C00000"/>
          <w:sz w:val="20"/>
          <w:szCs w:val="20"/>
        </w:rPr>
        <w:t>0.2</w:t>
      </w:r>
      <w:r>
        <w:rPr>
          <w:rFonts w:ascii="Times New Roman" w:hAnsi="Times New Roman" w:eastAsia="宋体"/>
          <w:i/>
          <w:iCs/>
          <w:sz w:val="20"/>
          <w:szCs w:val="20"/>
        </w:rPr>
        <w:t xml:space="preserve"> or </w:t>
      </w:r>
      <w:r>
        <w:rPr>
          <w:rFonts w:ascii="Times New Roman" w:hAnsi="Times New Roman" w:eastAsia="宋体"/>
          <w:i/>
          <w:iCs/>
          <w:color w:val="C00000"/>
          <w:sz w:val="20"/>
          <w:szCs w:val="20"/>
        </w:rPr>
        <w:t>1</w:t>
      </w:r>
      <w:r>
        <w:rPr>
          <w:rFonts w:ascii="Times New Roman" w:hAnsi="Times New Roman" w:eastAsia="宋体"/>
          <w:i/>
          <w:iCs/>
          <w:sz w:val="20"/>
          <w:szCs w:val="20"/>
        </w:rPr>
        <w:t xml:space="preserve"> m</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w:t>
      </w:r>
      <w:r>
        <w:rPr>
          <w:rFonts w:hint="eastAsia" w:ascii="Times New Roman" w:hAnsi="Times New Roman"/>
          <w:sz w:val="20"/>
          <w:szCs w:val="20"/>
        </w:rPr>
        <w:t xml:space="preserve"> </w:t>
      </w:r>
      <w:r>
        <w:rPr>
          <w:rFonts w:hint="eastAsia" w:ascii="Times New Roman" w:hAnsi="Times New Roman"/>
          <w:i/>
          <w:iCs/>
          <w:sz w:val="20"/>
          <w:szCs w:val="20"/>
        </w:rPr>
        <w:t xml:space="preserve">Alt.2 is used to define </w:t>
      </w:r>
      <w:r>
        <w:rPr>
          <w:rFonts w:ascii="Times New Roman" w:hAnsi="Times New Roman" w:eastAsia="Malgun Gothic"/>
          <w:i/>
          <w:iCs/>
          <w:sz w:val="20"/>
          <w:szCs w:val="20"/>
        </w:rPr>
        <w:t>Physical Layer Latency Start tim</w:t>
      </w:r>
      <w:r>
        <w:rPr>
          <w:rFonts w:hint="eastAsia" w:ascii="Times New Roman" w:hAnsi="Times New Roman" w:eastAsia="宋体"/>
          <w:i/>
          <w:iCs/>
          <w:sz w:val="20"/>
          <w:szCs w:val="20"/>
        </w:rPr>
        <w:t xml:space="preserve">e </w:t>
      </w:r>
      <w:r>
        <w:rPr>
          <w:rFonts w:hint="eastAsia" w:ascii="Times New Roman" w:hAnsi="Times New Roman"/>
          <w:i/>
          <w:iCs/>
          <w:sz w:val="20"/>
          <w:szCs w:val="20"/>
        </w:rPr>
        <w:t>for UE based method, i.e.</w:t>
      </w:r>
    </w:p>
    <w:tbl>
      <w:tblPr>
        <w:tblStyle w:val="23"/>
        <w:tblW w:w="0" w:type="auto"/>
        <w:tblInd w:w="0" w:type="dxa"/>
        <w:tblLayout w:type="fixed"/>
        <w:tblCellMar>
          <w:top w:w="0" w:type="dxa"/>
          <w:left w:w="0" w:type="dxa"/>
          <w:bottom w:w="0" w:type="dxa"/>
          <w:right w:w="0" w:type="dxa"/>
        </w:tblCellMar>
      </w:tblPr>
      <w:tblGrid>
        <w:gridCol w:w="2653"/>
        <w:gridCol w:w="3086"/>
        <w:gridCol w:w="3246"/>
      </w:tblGrid>
      <w:tr>
        <w:tblPrEx>
          <w:tblCellMar>
            <w:top w:w="0" w:type="dxa"/>
            <w:left w:w="0" w:type="dxa"/>
            <w:bottom w:w="0" w:type="dxa"/>
            <w:right w:w="0" w:type="dxa"/>
          </w:tblCellMar>
        </w:tblPrEx>
        <w:trPr>
          <w:trHeight w:val="466" w:hRule="atLeast"/>
        </w:trPr>
        <w:tc>
          <w:tcPr>
            <w:tcW w:w="265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Method</w:t>
            </w:r>
          </w:p>
        </w:tc>
        <w:tc>
          <w:tcPr>
            <w:tcW w:w="308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Start</w:t>
            </w:r>
          </w:p>
        </w:tc>
        <w:tc>
          <w:tcPr>
            <w:tcW w:w="324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8"/>
              <w:spacing w:line="231" w:lineRule="atLeast"/>
              <w:ind w:left="880"/>
              <w:rPr>
                <w:rFonts w:ascii="Times New Roman" w:hAnsi="Times New Roman"/>
                <w:sz w:val="20"/>
                <w:szCs w:val="20"/>
              </w:rPr>
            </w:pPr>
            <w:r>
              <w:rPr>
                <w:rFonts w:ascii="Times New Roman" w:hAnsi="Times New Roman"/>
                <w:b/>
                <w:bCs/>
                <w:sz w:val="20"/>
                <w:szCs w:val="20"/>
              </w:rPr>
              <w:t>End</w:t>
            </w:r>
          </w:p>
        </w:tc>
      </w:tr>
      <w:tr>
        <w:tblPrEx>
          <w:tblCellMar>
            <w:top w:w="0" w:type="dxa"/>
            <w:left w:w="0" w:type="dxa"/>
            <w:bottom w:w="0" w:type="dxa"/>
            <w:right w:w="0" w:type="dxa"/>
          </w:tblCellMar>
        </w:tblPrEx>
        <w:trPr>
          <w:trHeight w:val="466" w:hRule="atLeast"/>
        </w:trPr>
        <w:tc>
          <w:tcPr>
            <w:tcW w:w="2653"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8"/>
              <w:spacing w:after="160" w:line="231" w:lineRule="atLeast"/>
              <w:ind w:left="0"/>
              <w:rPr>
                <w:rFonts w:ascii="Times New Roman" w:hAnsi="Times New Roman"/>
                <w:sz w:val="20"/>
                <w:szCs w:val="20"/>
              </w:rPr>
            </w:pPr>
            <w:r>
              <w:rPr>
                <w:rFonts w:ascii="Times New Roman" w:hAnsi="Times New Roman"/>
                <w:sz w:val="20"/>
                <w:szCs w:val="20"/>
              </w:rPr>
              <w:t>UE-based</w:t>
            </w:r>
          </w:p>
        </w:tc>
        <w:tc>
          <w:tcPr>
            <w:tcW w:w="3086" w:type="dxa"/>
            <w:tcBorders>
              <w:top w:val="nil"/>
              <w:left w:val="nil"/>
              <w:bottom w:val="single" w:color="auto" w:sz="8" w:space="0"/>
              <w:right w:val="single" w:color="auto" w:sz="8" w:space="0"/>
            </w:tcBorders>
            <w:tcMar>
              <w:top w:w="0" w:type="dxa"/>
              <w:left w:w="108" w:type="dxa"/>
              <w:bottom w:w="0" w:type="dxa"/>
              <w:right w:w="108" w:type="dxa"/>
            </w:tcMar>
          </w:tcPr>
          <w:p>
            <w:pPr>
              <w:pStyle w:val="89"/>
              <w:spacing w:line="231" w:lineRule="atLeast"/>
              <w:ind w:left="0"/>
              <w:rPr>
                <w:rFonts w:ascii="Times New Roman" w:hAnsi="Times New Roman" w:cs="Times New Roman"/>
                <w:sz w:val="20"/>
                <w:szCs w:val="20"/>
                <w:lang w:val="en-GB"/>
              </w:rPr>
            </w:pPr>
            <w:r>
              <w:rPr>
                <w:rFonts w:ascii="Times New Roman" w:hAnsi="Times New Roman" w:cs="Times New Roman"/>
                <w:sz w:val="20"/>
                <w:szCs w:val="20"/>
                <w:lang w:val="en-GB"/>
              </w:rPr>
              <w:t>Transmission of the PDSCH from the gNB carrying the LPP Request Location Information if applicable, otherwise,</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color w:val="C00000"/>
                <w:sz w:val="20"/>
                <w:szCs w:val="20"/>
                <w:lang w:eastAsia="zh-CN"/>
              </w:rPr>
              <w:t>t</w:t>
            </w:r>
            <w:r>
              <w:rPr>
                <w:rFonts w:ascii="Times New Roman" w:hAnsi="Times New Roman" w:cs="Times New Roman"/>
                <w:color w:val="C00000"/>
                <w:sz w:val="20"/>
                <w:szCs w:val="20"/>
                <w:lang w:val="en-GB"/>
              </w:rPr>
              <w:t>ransmission of the PDSCH from the gNB carrying the LPP message containing the assistance data</w:t>
            </w:r>
          </w:p>
          <w:p>
            <w:pPr>
              <w:pStyle w:val="88"/>
              <w:spacing w:line="231" w:lineRule="atLeast"/>
              <w:ind w:left="880"/>
              <w:rPr>
                <w:rFonts w:ascii="Times New Roman" w:hAnsi="Times New Roman"/>
                <w:sz w:val="20"/>
                <w:szCs w:val="20"/>
              </w:rPr>
            </w:pPr>
          </w:p>
        </w:tc>
        <w:tc>
          <w:tcPr>
            <w:tcW w:w="3246" w:type="dxa"/>
            <w:tcBorders>
              <w:top w:val="nil"/>
              <w:left w:val="nil"/>
              <w:bottom w:val="single" w:color="auto" w:sz="8" w:space="0"/>
              <w:right w:val="single" w:color="auto" w:sz="8" w:space="0"/>
            </w:tcBorders>
            <w:tcMar>
              <w:top w:w="0" w:type="dxa"/>
              <w:left w:w="108" w:type="dxa"/>
              <w:bottom w:w="0" w:type="dxa"/>
              <w:right w:w="108" w:type="dxa"/>
            </w:tcMar>
          </w:tcPr>
          <w:p>
            <w:pPr>
              <w:pStyle w:val="89"/>
              <w:spacing w:line="231" w:lineRule="atLeast"/>
              <w:ind w:left="0"/>
              <w:rPr>
                <w:rFonts w:ascii="Times New Roman" w:hAnsi="Times New Roman" w:cs="Times New Roman"/>
                <w:sz w:val="20"/>
                <w:szCs w:val="20"/>
              </w:rPr>
            </w:pPr>
            <w:r>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pPr>
              <w:pStyle w:val="88"/>
              <w:spacing w:line="231" w:lineRule="atLeast"/>
              <w:ind w:left="880"/>
              <w:rPr>
                <w:rFonts w:ascii="Times New Roman" w:hAnsi="Times New Roman"/>
                <w:sz w:val="20"/>
                <w:szCs w:val="20"/>
              </w:rPr>
            </w:pPr>
            <w:r>
              <w:rPr>
                <w:rFonts w:ascii="Times New Roman" w:hAnsi="Times New Roman"/>
                <w:sz w:val="20"/>
                <w:szCs w:val="20"/>
              </w:rPr>
              <w:t> </w:t>
            </w:r>
          </w:p>
        </w:tc>
      </w:tr>
    </w:tbl>
    <w:p>
      <w:pPr>
        <w:snapToGrid w:val="0"/>
        <w:spacing w:after="0" w:line="240" w:lineRule="auto"/>
        <w:jc w:val="both"/>
        <w:rPr>
          <w:rFonts w:ascii="Times New Roman" w:hAnsi="Times New Roman"/>
          <w:b/>
          <w:bCs/>
          <w:i/>
          <w:iCs/>
          <w:sz w:val="20"/>
          <w:szCs w:val="20"/>
        </w:rPr>
      </w:pPr>
    </w:p>
    <w:p>
      <w:pPr>
        <w:snapToGrid w:val="0"/>
        <w:spacing w:after="0" w:line="240" w:lineRule="auto"/>
        <w:jc w:val="both"/>
        <w:rPr>
          <w:rFonts w:ascii="Times New Roman" w:hAnsi="Times New Roman"/>
          <w:sz w:val="20"/>
          <w:szCs w:val="20"/>
        </w:rPr>
      </w:pPr>
      <w:r>
        <w:rPr>
          <w:rFonts w:hint="eastAsia" w:ascii="Times New Roman" w:hAnsi="Times New Roman"/>
          <w:b/>
          <w:bCs/>
          <w:i/>
          <w:iCs/>
          <w:sz w:val="20"/>
          <w:szCs w:val="20"/>
        </w:rPr>
        <w:t xml:space="preserve">Proposal 3: </w:t>
      </w:r>
      <w:r>
        <w:rPr>
          <w:rFonts w:hint="eastAsia" w:ascii="Times New Roman" w:hAnsi="Times New Roman"/>
          <w:i/>
          <w:iCs/>
          <w:sz w:val="20"/>
          <w:szCs w:val="20"/>
        </w:rPr>
        <w:t>Adopt following target latency requirements for Rel-17</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commercial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End-to-end latency for position estimation of UE (&lt; 100 ms)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Physical layer latency for position estimation of UE (&lt; X3)</w:t>
      </w:r>
    </w:p>
    <w:p>
      <w:pPr>
        <w:numPr>
          <w:ilvl w:val="2"/>
          <w:numId w:val="4"/>
        </w:numPr>
        <w:tabs>
          <w:tab w:val="left" w:pos="1004"/>
        </w:tabs>
        <w:snapToGrid w:val="0"/>
        <w:spacing w:after="0" w:line="240" w:lineRule="auto"/>
        <w:ind w:left="1920" w:hanging="363"/>
        <w:contextualSpacing/>
        <w:rPr>
          <w:rFonts w:ascii="Times New Roman" w:hAnsi="Times New Roman" w:eastAsia="宋体"/>
          <w:i/>
          <w:iCs/>
          <w:sz w:val="20"/>
          <w:szCs w:val="20"/>
        </w:rPr>
      </w:pPr>
      <w:r>
        <w:rPr>
          <w:rFonts w:ascii="Times New Roman" w:hAnsi="Times New Roman" w:eastAsia="宋体"/>
          <w:i/>
          <w:iCs/>
          <w:sz w:val="20"/>
          <w:szCs w:val="20"/>
        </w:rPr>
        <w:t>X3 =</w:t>
      </w:r>
      <w:r>
        <w:rPr>
          <w:rFonts w:ascii="Times New Roman" w:hAnsi="Times New Roman" w:eastAsia="宋体"/>
          <w:i/>
          <w:iCs/>
          <w:color w:val="C00000"/>
          <w:sz w:val="20"/>
          <w:szCs w:val="20"/>
        </w:rPr>
        <w:t>10</w:t>
      </w:r>
      <w:r>
        <w:rPr>
          <w:rFonts w:ascii="Times New Roman" w:hAnsi="Times New Roman" w:eastAsia="宋体"/>
          <w:i/>
          <w:iCs/>
          <w:sz w:val="20"/>
          <w:szCs w:val="20"/>
        </w:rPr>
        <w:t>ms</w:t>
      </w:r>
    </w:p>
    <w:p>
      <w:pPr>
        <w:numPr>
          <w:ilvl w:val="0"/>
          <w:numId w:val="3"/>
        </w:numPr>
        <w:snapToGrid w:val="0"/>
        <w:spacing w:after="0" w:line="240" w:lineRule="auto"/>
        <w:ind w:left="780" w:hanging="363"/>
        <w:rPr>
          <w:rFonts w:ascii="Times New Roman" w:hAnsi="Times New Roman" w:eastAsia="宋体"/>
          <w:i/>
          <w:iCs/>
          <w:sz w:val="20"/>
          <w:szCs w:val="20"/>
        </w:rPr>
      </w:pPr>
      <w:r>
        <w:rPr>
          <w:rFonts w:hint="eastAsia" w:ascii="Times New Roman" w:hAnsi="Times New Roman" w:eastAsia="宋体"/>
          <w:i/>
          <w:iCs/>
          <w:sz w:val="20"/>
          <w:szCs w:val="20"/>
        </w:rPr>
        <w:t>F</w:t>
      </w:r>
      <w:r>
        <w:rPr>
          <w:rFonts w:ascii="Times New Roman" w:hAnsi="Times New Roman" w:eastAsia="宋体"/>
          <w:i/>
          <w:iCs/>
          <w:sz w:val="20"/>
          <w:szCs w:val="20"/>
        </w:rPr>
        <w:t>or IIoT use cases:</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End-to-end latency for position estimation of UE (&lt; X6)</w:t>
      </w:r>
    </w:p>
    <w:p>
      <w:pPr>
        <w:numPr>
          <w:ilvl w:val="2"/>
          <w:numId w:val="4"/>
        </w:numPr>
        <w:tabs>
          <w:tab w:val="left" w:pos="1004"/>
        </w:tabs>
        <w:snapToGrid w:val="0"/>
        <w:spacing w:after="0" w:line="240" w:lineRule="auto"/>
        <w:ind w:left="1920" w:hanging="363"/>
        <w:contextualSpacing/>
        <w:rPr>
          <w:rFonts w:ascii="Times New Roman" w:hAnsi="Times New Roman" w:eastAsia="宋体"/>
          <w:i/>
          <w:iCs/>
          <w:sz w:val="20"/>
          <w:szCs w:val="20"/>
        </w:rPr>
      </w:pPr>
      <w:r>
        <w:rPr>
          <w:rFonts w:ascii="Times New Roman" w:hAnsi="Times New Roman" w:eastAsia="宋体"/>
          <w:i/>
          <w:iCs/>
          <w:sz w:val="20"/>
          <w:szCs w:val="20"/>
        </w:rPr>
        <w:t xml:space="preserve">X6 = </w:t>
      </w:r>
      <w:r>
        <w:rPr>
          <w:rFonts w:ascii="Times New Roman" w:hAnsi="Times New Roman" w:eastAsia="宋体"/>
          <w:i/>
          <w:iCs/>
          <w:color w:val="C00000"/>
          <w:sz w:val="20"/>
          <w:szCs w:val="20"/>
        </w:rPr>
        <w:t>100</w:t>
      </w:r>
      <w:r>
        <w:rPr>
          <w:rFonts w:ascii="Times New Roman" w:hAnsi="Times New Roman" w:eastAsia="宋体"/>
          <w:i/>
          <w:iCs/>
          <w:sz w:val="20"/>
          <w:szCs w:val="20"/>
        </w:rPr>
        <w:t xml:space="preserve">ms </w:t>
      </w:r>
    </w:p>
    <w:p>
      <w:pPr>
        <w:numPr>
          <w:ilvl w:val="1"/>
          <w:numId w:val="4"/>
        </w:numPr>
        <w:tabs>
          <w:tab w:val="left" w:pos="1004"/>
        </w:tabs>
        <w:snapToGrid w:val="0"/>
        <w:spacing w:after="0" w:line="240" w:lineRule="auto"/>
        <w:ind w:left="1500" w:hanging="363"/>
        <w:contextualSpacing/>
        <w:rPr>
          <w:rFonts w:ascii="Times New Roman" w:hAnsi="Times New Roman" w:eastAsia="宋体"/>
          <w:i/>
          <w:iCs/>
          <w:sz w:val="20"/>
          <w:szCs w:val="20"/>
        </w:rPr>
      </w:pPr>
      <w:r>
        <w:rPr>
          <w:rFonts w:ascii="Times New Roman" w:hAnsi="Times New Roman" w:eastAsia="宋体"/>
          <w:i/>
          <w:iCs/>
          <w:sz w:val="20"/>
          <w:szCs w:val="20"/>
        </w:rPr>
        <w:t>Physical layer latency for position estimation of UE (&lt; X7)</w:t>
      </w:r>
    </w:p>
    <w:p>
      <w:pPr>
        <w:numPr>
          <w:ilvl w:val="2"/>
          <w:numId w:val="4"/>
        </w:numPr>
        <w:tabs>
          <w:tab w:val="left" w:pos="1004"/>
        </w:tabs>
        <w:snapToGrid w:val="0"/>
        <w:spacing w:after="0" w:line="240" w:lineRule="auto"/>
        <w:ind w:left="1920" w:hanging="363"/>
        <w:contextualSpacing/>
        <w:rPr>
          <w:rFonts w:ascii="Times New Roman" w:hAnsi="Times New Roman"/>
          <w:sz w:val="20"/>
          <w:szCs w:val="20"/>
        </w:rPr>
      </w:pPr>
      <w:r>
        <w:rPr>
          <w:rFonts w:ascii="Times New Roman" w:hAnsi="Times New Roman" w:eastAsia="宋体"/>
          <w:i/>
          <w:iCs/>
          <w:sz w:val="20"/>
          <w:szCs w:val="20"/>
        </w:rPr>
        <w:t>o   X7 =</w:t>
      </w:r>
      <w:r>
        <w:rPr>
          <w:rFonts w:ascii="Times New Roman" w:hAnsi="Times New Roman" w:eastAsia="宋体"/>
          <w:i/>
          <w:iCs/>
          <w:color w:val="C00000"/>
          <w:sz w:val="20"/>
          <w:szCs w:val="20"/>
        </w:rPr>
        <w:t>10</w:t>
      </w:r>
      <w:r>
        <w:rPr>
          <w:rFonts w:ascii="Times New Roman" w:hAnsi="Times New Roman" w:eastAsia="宋体"/>
          <w:i/>
          <w:iCs/>
          <w:sz w:val="20"/>
          <w:szCs w:val="20"/>
        </w:rPr>
        <w:t xml:space="preserve">ms </w:t>
      </w:r>
    </w:p>
    <w:p>
      <w:pPr>
        <w:pStyle w:val="2"/>
        <w:snapToGrid w:val="0"/>
        <w:spacing w:before="180" w:beforeLines="50" w:after="180" w:afterLines="50"/>
        <w:ind w:left="431" w:hanging="431"/>
        <w:rPr>
          <w:rFonts w:ascii="Times New Roman" w:hAnsi="Times New Roman"/>
          <w:sz w:val="28"/>
          <w:lang w:val="en-US"/>
        </w:rPr>
      </w:pPr>
      <w:bookmarkStart w:id="7" w:name="OLE_LINK11"/>
      <w:bookmarkStart w:id="8" w:name="OLE_LINK10"/>
      <w:r>
        <w:rPr>
          <w:rFonts w:ascii="Times New Roman" w:hAnsi="Times New Roman"/>
          <w:sz w:val="28"/>
          <w:lang w:val="en-US"/>
        </w:rPr>
        <w:t>References</w:t>
      </w:r>
    </w:p>
    <w:bookmarkEnd w:id="7"/>
    <w:bookmarkEnd w:id="8"/>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RP-193237, New SID on NR Positioning Enhancements, Qualcomm Incorporated</w:t>
      </w:r>
    </w:p>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RAN1 Chairman’s Notes, 3GPP TSG RAN WG1 Meeting #101-e, May 25</w:t>
      </w:r>
      <w:r>
        <w:rPr>
          <w:rFonts w:ascii="Times New Roman" w:hAnsi="Times New Roman"/>
          <w:sz w:val="20"/>
          <w:szCs w:val="20"/>
          <w:vertAlign w:val="superscript"/>
        </w:rPr>
        <w:t>th</w:t>
      </w:r>
      <w:r>
        <w:rPr>
          <w:rFonts w:hint="eastAsia" w:ascii="Times New Roman" w:hAnsi="Times New Roman"/>
          <w:sz w:val="20"/>
          <w:szCs w:val="20"/>
          <w:vertAlign w:val="superscript"/>
        </w:rPr>
        <w:t xml:space="preserve"> </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June 5</w:t>
      </w:r>
      <w:r>
        <w:rPr>
          <w:rFonts w:ascii="Times New Roman" w:hAnsi="Times New Roman"/>
          <w:sz w:val="20"/>
          <w:szCs w:val="20"/>
          <w:vertAlign w:val="superscript"/>
        </w:rPr>
        <w:t>th</w:t>
      </w:r>
      <w:r>
        <w:rPr>
          <w:rFonts w:ascii="Times New Roman" w:hAnsi="Times New Roman"/>
          <w:sz w:val="20"/>
          <w:szCs w:val="20"/>
        </w:rPr>
        <w:t>, 2020</w:t>
      </w:r>
    </w:p>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RAN1 Chairman’s Notes, 3GPP TSG RAN WG1 Meeting #10</w:t>
      </w:r>
      <w:r>
        <w:rPr>
          <w:rFonts w:hint="eastAsia" w:ascii="Times New Roman" w:hAnsi="Times New Roman"/>
          <w:sz w:val="20"/>
          <w:szCs w:val="20"/>
        </w:rPr>
        <w:t>2</w:t>
      </w:r>
      <w:r>
        <w:rPr>
          <w:rFonts w:ascii="Times New Roman" w:hAnsi="Times New Roman"/>
          <w:sz w:val="20"/>
          <w:szCs w:val="20"/>
        </w:rPr>
        <w:t>-e, August 17</w:t>
      </w:r>
      <w:r>
        <w:rPr>
          <w:rFonts w:ascii="Times New Roman" w:hAnsi="Times New Roman"/>
          <w:sz w:val="20"/>
          <w:szCs w:val="20"/>
          <w:vertAlign w:val="superscript"/>
        </w:rPr>
        <w:t>th</w:t>
      </w:r>
      <w:r>
        <w:rPr>
          <w:rFonts w:ascii="Times New Roman" w:hAnsi="Times New Roman"/>
          <w:sz w:val="20"/>
          <w:szCs w:val="20"/>
        </w:rPr>
        <w:t xml:space="preserve"> – 28</w:t>
      </w:r>
      <w:r>
        <w:rPr>
          <w:rFonts w:ascii="Times New Roman" w:hAnsi="Times New Roman"/>
          <w:sz w:val="20"/>
          <w:szCs w:val="20"/>
          <w:vertAlign w:val="superscript"/>
        </w:rPr>
        <w:t>th</w:t>
      </w:r>
      <w:r>
        <w:rPr>
          <w:rFonts w:ascii="Times New Roman" w:hAnsi="Times New Roman"/>
          <w:sz w:val="20"/>
          <w:szCs w:val="20"/>
        </w:rPr>
        <w:t>, 2020</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R1-2007754, Evaluation of achievable accuracy and latency, ZTE</w:t>
      </w:r>
    </w:p>
    <w:p>
      <w:pPr>
        <w:snapToGrid w:val="0"/>
        <w:spacing w:after="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383D28C0"/>
    <w:multiLevelType w:val="multilevel"/>
    <w:tmpl w:val="383D28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5BEC2621"/>
    <w:multiLevelType w:val="multilevel"/>
    <w:tmpl w:val="5BEC26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CC66CF1"/>
    <w:multiLevelType w:val="multilevel"/>
    <w:tmpl w:val="5CC66C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254"/>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9F"/>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B7"/>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F3"/>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0F1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D7F"/>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7C8"/>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6EA"/>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460"/>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BFB"/>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13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C7"/>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2AA"/>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AD6"/>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0CB"/>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795"/>
    <w:rsid w:val="019B60BC"/>
    <w:rsid w:val="019D11D6"/>
    <w:rsid w:val="01A02104"/>
    <w:rsid w:val="01A761C0"/>
    <w:rsid w:val="01A96AA0"/>
    <w:rsid w:val="01B91B37"/>
    <w:rsid w:val="01BD6BEA"/>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3D36"/>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C43CB"/>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764D1"/>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3F8540A"/>
    <w:rsid w:val="03F96A50"/>
    <w:rsid w:val="040562E0"/>
    <w:rsid w:val="040B23D6"/>
    <w:rsid w:val="041203F0"/>
    <w:rsid w:val="04132C1A"/>
    <w:rsid w:val="0417289A"/>
    <w:rsid w:val="04181433"/>
    <w:rsid w:val="041B4C49"/>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34D6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70DC1"/>
    <w:rsid w:val="07186D56"/>
    <w:rsid w:val="0721733B"/>
    <w:rsid w:val="07251E9C"/>
    <w:rsid w:val="072B2FCC"/>
    <w:rsid w:val="0737326C"/>
    <w:rsid w:val="073778E7"/>
    <w:rsid w:val="07487206"/>
    <w:rsid w:val="074876CC"/>
    <w:rsid w:val="075453F9"/>
    <w:rsid w:val="07574884"/>
    <w:rsid w:val="075B498A"/>
    <w:rsid w:val="0764669C"/>
    <w:rsid w:val="07654F7A"/>
    <w:rsid w:val="07662B3F"/>
    <w:rsid w:val="076816D4"/>
    <w:rsid w:val="07767F1E"/>
    <w:rsid w:val="077753A4"/>
    <w:rsid w:val="07781143"/>
    <w:rsid w:val="077B726A"/>
    <w:rsid w:val="077E3FD9"/>
    <w:rsid w:val="07965968"/>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3B76"/>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D3E19"/>
    <w:rsid w:val="090E5E0E"/>
    <w:rsid w:val="09233A88"/>
    <w:rsid w:val="09256F9F"/>
    <w:rsid w:val="0926699A"/>
    <w:rsid w:val="092A6DE7"/>
    <w:rsid w:val="092D43FA"/>
    <w:rsid w:val="093A5A26"/>
    <w:rsid w:val="093C1679"/>
    <w:rsid w:val="093D0096"/>
    <w:rsid w:val="0946305C"/>
    <w:rsid w:val="09493002"/>
    <w:rsid w:val="094C661F"/>
    <w:rsid w:val="094E0A67"/>
    <w:rsid w:val="09597734"/>
    <w:rsid w:val="09616348"/>
    <w:rsid w:val="096C4215"/>
    <w:rsid w:val="096E4B93"/>
    <w:rsid w:val="096E4D5C"/>
    <w:rsid w:val="0978669A"/>
    <w:rsid w:val="097E6186"/>
    <w:rsid w:val="098147F0"/>
    <w:rsid w:val="098A3FEF"/>
    <w:rsid w:val="098F49D9"/>
    <w:rsid w:val="09A211FD"/>
    <w:rsid w:val="09A22CB0"/>
    <w:rsid w:val="09A33D5F"/>
    <w:rsid w:val="09B64FB7"/>
    <w:rsid w:val="09BE27FD"/>
    <w:rsid w:val="09C208A7"/>
    <w:rsid w:val="09D867C7"/>
    <w:rsid w:val="09DA2E15"/>
    <w:rsid w:val="09DC6D7F"/>
    <w:rsid w:val="09DF5FCB"/>
    <w:rsid w:val="09EA2D1D"/>
    <w:rsid w:val="09EB7ACF"/>
    <w:rsid w:val="09F019FA"/>
    <w:rsid w:val="09F27747"/>
    <w:rsid w:val="09F54E7B"/>
    <w:rsid w:val="0A03095D"/>
    <w:rsid w:val="0A031353"/>
    <w:rsid w:val="0A090E68"/>
    <w:rsid w:val="0A0F1C7A"/>
    <w:rsid w:val="0A0F75F4"/>
    <w:rsid w:val="0A265C5E"/>
    <w:rsid w:val="0A314CC5"/>
    <w:rsid w:val="0A3A062B"/>
    <w:rsid w:val="0A3C576A"/>
    <w:rsid w:val="0A3F2D2D"/>
    <w:rsid w:val="0A416A79"/>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1AAF"/>
    <w:rsid w:val="0D297DF3"/>
    <w:rsid w:val="0D385411"/>
    <w:rsid w:val="0D5235A5"/>
    <w:rsid w:val="0D5D1B45"/>
    <w:rsid w:val="0D6712AB"/>
    <w:rsid w:val="0D6924B4"/>
    <w:rsid w:val="0D6D7CC3"/>
    <w:rsid w:val="0D7D5968"/>
    <w:rsid w:val="0D7E7590"/>
    <w:rsid w:val="0D8107A5"/>
    <w:rsid w:val="0D8952C8"/>
    <w:rsid w:val="0D940F4F"/>
    <w:rsid w:val="0D950038"/>
    <w:rsid w:val="0D9547D8"/>
    <w:rsid w:val="0DA21DB4"/>
    <w:rsid w:val="0DB14B01"/>
    <w:rsid w:val="0DB42335"/>
    <w:rsid w:val="0DC75B70"/>
    <w:rsid w:val="0DC93981"/>
    <w:rsid w:val="0DD32B50"/>
    <w:rsid w:val="0DD339D9"/>
    <w:rsid w:val="0DD75970"/>
    <w:rsid w:val="0DD93675"/>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D22DE"/>
    <w:rsid w:val="0F0E287E"/>
    <w:rsid w:val="0F122314"/>
    <w:rsid w:val="0F1A43F3"/>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353BA"/>
    <w:rsid w:val="10171D38"/>
    <w:rsid w:val="10173B20"/>
    <w:rsid w:val="101B4B2B"/>
    <w:rsid w:val="10214450"/>
    <w:rsid w:val="1046747A"/>
    <w:rsid w:val="104F503B"/>
    <w:rsid w:val="106104D8"/>
    <w:rsid w:val="10614B4D"/>
    <w:rsid w:val="106807AB"/>
    <w:rsid w:val="10697106"/>
    <w:rsid w:val="106D07A5"/>
    <w:rsid w:val="10766BB7"/>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1EF0"/>
    <w:rsid w:val="12766947"/>
    <w:rsid w:val="127709FC"/>
    <w:rsid w:val="127E6792"/>
    <w:rsid w:val="127F52A7"/>
    <w:rsid w:val="128301BF"/>
    <w:rsid w:val="128303BF"/>
    <w:rsid w:val="129C4B1E"/>
    <w:rsid w:val="12A13BDA"/>
    <w:rsid w:val="12A142E5"/>
    <w:rsid w:val="12A8272F"/>
    <w:rsid w:val="12AC6C59"/>
    <w:rsid w:val="12AE2A22"/>
    <w:rsid w:val="12B209E5"/>
    <w:rsid w:val="12B43E24"/>
    <w:rsid w:val="12C336A4"/>
    <w:rsid w:val="12C444E1"/>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D141D7"/>
    <w:rsid w:val="14D3342D"/>
    <w:rsid w:val="14D5012B"/>
    <w:rsid w:val="14E47191"/>
    <w:rsid w:val="14E9786D"/>
    <w:rsid w:val="14EC3E5C"/>
    <w:rsid w:val="14ED0A8C"/>
    <w:rsid w:val="14FA4CD9"/>
    <w:rsid w:val="14FB5F43"/>
    <w:rsid w:val="15092179"/>
    <w:rsid w:val="15100FA6"/>
    <w:rsid w:val="1513479B"/>
    <w:rsid w:val="151A1661"/>
    <w:rsid w:val="15262908"/>
    <w:rsid w:val="1529226A"/>
    <w:rsid w:val="152D659F"/>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360814"/>
    <w:rsid w:val="163E0BDC"/>
    <w:rsid w:val="164129F4"/>
    <w:rsid w:val="16446CE1"/>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DF6CDD"/>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C57645"/>
    <w:rsid w:val="17DE3E41"/>
    <w:rsid w:val="17DF6C02"/>
    <w:rsid w:val="17E12765"/>
    <w:rsid w:val="17F118FB"/>
    <w:rsid w:val="17F86536"/>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01D0"/>
    <w:rsid w:val="18CF54E2"/>
    <w:rsid w:val="18D51E03"/>
    <w:rsid w:val="18DC2029"/>
    <w:rsid w:val="18DC6725"/>
    <w:rsid w:val="18DF2E4F"/>
    <w:rsid w:val="18E51EDB"/>
    <w:rsid w:val="18EC1DAC"/>
    <w:rsid w:val="18EC69AA"/>
    <w:rsid w:val="18F03C02"/>
    <w:rsid w:val="18F44372"/>
    <w:rsid w:val="18F73D37"/>
    <w:rsid w:val="18FA3239"/>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D34CF"/>
    <w:rsid w:val="197E4EC9"/>
    <w:rsid w:val="198A317C"/>
    <w:rsid w:val="198A5B9B"/>
    <w:rsid w:val="198E504F"/>
    <w:rsid w:val="198E7CC2"/>
    <w:rsid w:val="19935571"/>
    <w:rsid w:val="1994367F"/>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375B6"/>
    <w:rsid w:val="1B265FC9"/>
    <w:rsid w:val="1B3A63E1"/>
    <w:rsid w:val="1B3B44BF"/>
    <w:rsid w:val="1B3E7861"/>
    <w:rsid w:val="1B3F232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63814"/>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623D5"/>
    <w:rsid w:val="1DB80A24"/>
    <w:rsid w:val="1DBF1E64"/>
    <w:rsid w:val="1DC1491C"/>
    <w:rsid w:val="1DC46CA3"/>
    <w:rsid w:val="1DCC31D5"/>
    <w:rsid w:val="1DD16DAA"/>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809DA"/>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B55C3"/>
    <w:rsid w:val="1EAD4715"/>
    <w:rsid w:val="1EB010E6"/>
    <w:rsid w:val="1EB25743"/>
    <w:rsid w:val="1EB67B5C"/>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645A2"/>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2F535D"/>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7A1BD6"/>
    <w:rsid w:val="22882272"/>
    <w:rsid w:val="229C146B"/>
    <w:rsid w:val="229F5B62"/>
    <w:rsid w:val="22AE2277"/>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2165CC"/>
    <w:rsid w:val="24373F32"/>
    <w:rsid w:val="24444FD4"/>
    <w:rsid w:val="24464871"/>
    <w:rsid w:val="244A34E7"/>
    <w:rsid w:val="245D17E8"/>
    <w:rsid w:val="245D35CF"/>
    <w:rsid w:val="24706349"/>
    <w:rsid w:val="24754CB4"/>
    <w:rsid w:val="24766F09"/>
    <w:rsid w:val="247A0B6D"/>
    <w:rsid w:val="247E026A"/>
    <w:rsid w:val="24821C44"/>
    <w:rsid w:val="24822A2F"/>
    <w:rsid w:val="248272E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55283"/>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8D5417"/>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E6F50"/>
    <w:rsid w:val="2A4F54C7"/>
    <w:rsid w:val="2A664217"/>
    <w:rsid w:val="2A6E2A78"/>
    <w:rsid w:val="2A735802"/>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46695"/>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885A00"/>
    <w:rsid w:val="2D964287"/>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E4"/>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301A6"/>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335E"/>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D4AEA"/>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75C25"/>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259F3"/>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70FDE"/>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61EF8"/>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17AB6"/>
    <w:rsid w:val="39FA1CF1"/>
    <w:rsid w:val="3A001D3B"/>
    <w:rsid w:val="3A016BF0"/>
    <w:rsid w:val="3A0C1916"/>
    <w:rsid w:val="3A191E0E"/>
    <w:rsid w:val="3A1C597D"/>
    <w:rsid w:val="3A1C71BF"/>
    <w:rsid w:val="3A200D63"/>
    <w:rsid w:val="3A28415B"/>
    <w:rsid w:val="3A2C3BA6"/>
    <w:rsid w:val="3A3539DC"/>
    <w:rsid w:val="3A3D4D53"/>
    <w:rsid w:val="3A4C45A1"/>
    <w:rsid w:val="3A577ADC"/>
    <w:rsid w:val="3A5914F9"/>
    <w:rsid w:val="3A5F3F5A"/>
    <w:rsid w:val="3A6D66ED"/>
    <w:rsid w:val="3A7116FC"/>
    <w:rsid w:val="3A736A4A"/>
    <w:rsid w:val="3A76541F"/>
    <w:rsid w:val="3A7D75EF"/>
    <w:rsid w:val="3A881F93"/>
    <w:rsid w:val="3A8D11CC"/>
    <w:rsid w:val="3A8E77EB"/>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6507D"/>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86A6E"/>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666AD"/>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A0236"/>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0365A"/>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E6784"/>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680504"/>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11307"/>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53CDC"/>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066620"/>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17A1D"/>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8D558A"/>
    <w:rsid w:val="4B9419F7"/>
    <w:rsid w:val="4B9E2880"/>
    <w:rsid w:val="4B9E74AF"/>
    <w:rsid w:val="4BA96810"/>
    <w:rsid w:val="4BAC02EC"/>
    <w:rsid w:val="4BAD645F"/>
    <w:rsid w:val="4BB75525"/>
    <w:rsid w:val="4BBE10A9"/>
    <w:rsid w:val="4BD15D3F"/>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BA216A"/>
    <w:rsid w:val="4DC03E03"/>
    <w:rsid w:val="4DC171CE"/>
    <w:rsid w:val="4DC945C5"/>
    <w:rsid w:val="4DE100E7"/>
    <w:rsid w:val="4DE52367"/>
    <w:rsid w:val="4DEE7293"/>
    <w:rsid w:val="4DF5384E"/>
    <w:rsid w:val="4DF57D5B"/>
    <w:rsid w:val="4DFB4AE2"/>
    <w:rsid w:val="4E0D58F7"/>
    <w:rsid w:val="4E101469"/>
    <w:rsid w:val="4E17118C"/>
    <w:rsid w:val="4E2B2FCF"/>
    <w:rsid w:val="4E333BB5"/>
    <w:rsid w:val="4E357F6B"/>
    <w:rsid w:val="4E371BF7"/>
    <w:rsid w:val="4E3D688F"/>
    <w:rsid w:val="4E3E6E2C"/>
    <w:rsid w:val="4E3F2C62"/>
    <w:rsid w:val="4E44293C"/>
    <w:rsid w:val="4E467BC9"/>
    <w:rsid w:val="4E490B45"/>
    <w:rsid w:val="4E5C715A"/>
    <w:rsid w:val="4E5F36B7"/>
    <w:rsid w:val="4E675CDF"/>
    <w:rsid w:val="4E6C617F"/>
    <w:rsid w:val="4E762F41"/>
    <w:rsid w:val="4E776518"/>
    <w:rsid w:val="4E7964A9"/>
    <w:rsid w:val="4E7D7378"/>
    <w:rsid w:val="4E7F10F7"/>
    <w:rsid w:val="4E810069"/>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EE2224"/>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8349B4"/>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084E73"/>
    <w:rsid w:val="511462DE"/>
    <w:rsid w:val="511934F5"/>
    <w:rsid w:val="511A650A"/>
    <w:rsid w:val="511D524D"/>
    <w:rsid w:val="51211654"/>
    <w:rsid w:val="51393A83"/>
    <w:rsid w:val="513B3DF9"/>
    <w:rsid w:val="51401B57"/>
    <w:rsid w:val="51480A97"/>
    <w:rsid w:val="51540609"/>
    <w:rsid w:val="516E6A0E"/>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B36A7"/>
    <w:rsid w:val="538143D7"/>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0D03F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7E259B"/>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3931"/>
    <w:rsid w:val="55EE3558"/>
    <w:rsid w:val="55F3287B"/>
    <w:rsid w:val="55FC1DF1"/>
    <w:rsid w:val="55FD5512"/>
    <w:rsid w:val="55FD6C2D"/>
    <w:rsid w:val="5602472C"/>
    <w:rsid w:val="561978EB"/>
    <w:rsid w:val="561D0938"/>
    <w:rsid w:val="56254844"/>
    <w:rsid w:val="56276135"/>
    <w:rsid w:val="562C48A4"/>
    <w:rsid w:val="562E289A"/>
    <w:rsid w:val="5635337A"/>
    <w:rsid w:val="563B1048"/>
    <w:rsid w:val="56444B1E"/>
    <w:rsid w:val="5646524C"/>
    <w:rsid w:val="5649734E"/>
    <w:rsid w:val="564E3688"/>
    <w:rsid w:val="56514294"/>
    <w:rsid w:val="5662083F"/>
    <w:rsid w:val="566355DD"/>
    <w:rsid w:val="56680BC9"/>
    <w:rsid w:val="566926ED"/>
    <w:rsid w:val="567043C4"/>
    <w:rsid w:val="567119B3"/>
    <w:rsid w:val="56711FDB"/>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70D79"/>
    <w:rsid w:val="5ABE2DB3"/>
    <w:rsid w:val="5AC4568B"/>
    <w:rsid w:val="5AC465B0"/>
    <w:rsid w:val="5AC9126A"/>
    <w:rsid w:val="5ACA099C"/>
    <w:rsid w:val="5ACB4402"/>
    <w:rsid w:val="5ACD5F94"/>
    <w:rsid w:val="5AD140B1"/>
    <w:rsid w:val="5ADC54ED"/>
    <w:rsid w:val="5AE627DD"/>
    <w:rsid w:val="5AE65AC1"/>
    <w:rsid w:val="5AE86727"/>
    <w:rsid w:val="5AED60B1"/>
    <w:rsid w:val="5AF10757"/>
    <w:rsid w:val="5AF37FA5"/>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1487C"/>
    <w:rsid w:val="5C2A085A"/>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7117C"/>
    <w:rsid w:val="5D241D0D"/>
    <w:rsid w:val="5D2853F4"/>
    <w:rsid w:val="5D287792"/>
    <w:rsid w:val="5D2C7B52"/>
    <w:rsid w:val="5D403759"/>
    <w:rsid w:val="5D405301"/>
    <w:rsid w:val="5D4A39D0"/>
    <w:rsid w:val="5D4A3B3F"/>
    <w:rsid w:val="5D545032"/>
    <w:rsid w:val="5D680387"/>
    <w:rsid w:val="5D6A1F05"/>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18F3"/>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F14EB"/>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E418B1"/>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765F3"/>
    <w:rsid w:val="60990BD7"/>
    <w:rsid w:val="60A20F88"/>
    <w:rsid w:val="60A3504C"/>
    <w:rsid w:val="60A94D54"/>
    <w:rsid w:val="60AB29B2"/>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3622E0"/>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45B99"/>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7123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9B467B"/>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30ECE"/>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7DB2"/>
    <w:rsid w:val="6831388B"/>
    <w:rsid w:val="683770B8"/>
    <w:rsid w:val="683965C1"/>
    <w:rsid w:val="683B5DF7"/>
    <w:rsid w:val="68430152"/>
    <w:rsid w:val="684D72F1"/>
    <w:rsid w:val="68596E7A"/>
    <w:rsid w:val="685E0BD6"/>
    <w:rsid w:val="6862505C"/>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14F30"/>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211BD"/>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BF37AC3"/>
    <w:rsid w:val="6C0537C8"/>
    <w:rsid w:val="6C084114"/>
    <w:rsid w:val="6C093B94"/>
    <w:rsid w:val="6C0F41E1"/>
    <w:rsid w:val="6C13705F"/>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CF95966"/>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2576F"/>
    <w:rsid w:val="6D484D36"/>
    <w:rsid w:val="6D4A0555"/>
    <w:rsid w:val="6D4D2DE5"/>
    <w:rsid w:val="6D4E5075"/>
    <w:rsid w:val="6D4F0B9A"/>
    <w:rsid w:val="6D554A81"/>
    <w:rsid w:val="6D58542B"/>
    <w:rsid w:val="6D5D1BD3"/>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C58B5"/>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EB7B6E"/>
    <w:rsid w:val="6EFE53AC"/>
    <w:rsid w:val="6EFE5570"/>
    <w:rsid w:val="6EFE6A06"/>
    <w:rsid w:val="6F046836"/>
    <w:rsid w:val="6F0C47B7"/>
    <w:rsid w:val="6F0E46EF"/>
    <w:rsid w:val="6F1A15F9"/>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ED3309"/>
    <w:rsid w:val="6FF15C82"/>
    <w:rsid w:val="6FFD13E7"/>
    <w:rsid w:val="70035B63"/>
    <w:rsid w:val="70084791"/>
    <w:rsid w:val="700B4CC3"/>
    <w:rsid w:val="700E2540"/>
    <w:rsid w:val="701B650B"/>
    <w:rsid w:val="70200403"/>
    <w:rsid w:val="70233697"/>
    <w:rsid w:val="702F7F84"/>
    <w:rsid w:val="704622D4"/>
    <w:rsid w:val="704B74A1"/>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DF2B0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BA142F"/>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A35F6"/>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544CE"/>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C0E44"/>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DC676F"/>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232A"/>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B626A"/>
    <w:rsid w:val="7883577A"/>
    <w:rsid w:val="78842FF3"/>
    <w:rsid w:val="7889168E"/>
    <w:rsid w:val="78932A56"/>
    <w:rsid w:val="78957160"/>
    <w:rsid w:val="7897387D"/>
    <w:rsid w:val="78996993"/>
    <w:rsid w:val="789F0234"/>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92D6D"/>
    <w:rsid w:val="78ED4AAA"/>
    <w:rsid w:val="78EF2538"/>
    <w:rsid w:val="78F202CD"/>
    <w:rsid w:val="78F34135"/>
    <w:rsid w:val="79001ACD"/>
    <w:rsid w:val="79076642"/>
    <w:rsid w:val="790B1448"/>
    <w:rsid w:val="791337F4"/>
    <w:rsid w:val="79161CA5"/>
    <w:rsid w:val="791C6390"/>
    <w:rsid w:val="791C6AF9"/>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7675"/>
    <w:rsid w:val="7A387FFB"/>
    <w:rsid w:val="7A3E47B4"/>
    <w:rsid w:val="7A3F1642"/>
    <w:rsid w:val="7A522AD8"/>
    <w:rsid w:val="7A541CDF"/>
    <w:rsid w:val="7A543922"/>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D8621C"/>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7853E7"/>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0A3E"/>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212E1"/>
    <w:rsid w:val="7CF82FD7"/>
    <w:rsid w:val="7CF962FF"/>
    <w:rsid w:val="7CF97B72"/>
    <w:rsid w:val="7D003EBD"/>
    <w:rsid w:val="7D062AC2"/>
    <w:rsid w:val="7D114EC3"/>
    <w:rsid w:val="7D11738B"/>
    <w:rsid w:val="7D130380"/>
    <w:rsid w:val="7D152E85"/>
    <w:rsid w:val="7D18676F"/>
    <w:rsid w:val="7D1D06F9"/>
    <w:rsid w:val="7D2174C4"/>
    <w:rsid w:val="7D2A532B"/>
    <w:rsid w:val="7D2C668A"/>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06B37"/>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6C8"/>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8B6C18"/>
    <w:rsid w:val="7F915207"/>
    <w:rsid w:val="7F98284E"/>
    <w:rsid w:val="7F9F3CC1"/>
    <w:rsid w:val="7FA01D45"/>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listparagraph"/>
    <w:basedOn w:val="1"/>
    <w:qFormat/>
    <w:uiPriority w:val="0"/>
    <w:pPr>
      <w:spacing w:after="160" w:line="252" w:lineRule="auto"/>
      <w:ind w:left="720"/>
    </w:pPr>
    <w:rPr>
      <w:rFonts w:eastAsia="Calibri" w:cs="宋体"/>
      <w:lang w:eastAsia="en-US"/>
    </w:rPr>
  </w:style>
  <w:style w:type="paragraph" w:customStyle="1" w:styleId="90">
    <w:name w:val="proposal"/>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BA9E45-1AFD-4F12-8D50-8CA76B83783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1373</Words>
  <Characters>7830</Characters>
  <Lines>65</Lines>
  <Paragraphs>18</Paragraphs>
  <TotalTime>25</TotalTime>
  <ScaleCrop>false</ScaleCrop>
  <LinksUpToDate>false</LinksUpToDate>
  <CharactersWithSpaces>9185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2020-10-15T03:02:22Z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